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spacing w:after="200" w:before="200" w:lineRule="auto"/>
        <w:jc w:val="center"/>
        <w:rPr>
          <w:rFonts w:ascii="Times New Roman" w:cs="Times New Roman" w:eastAsia="Times New Roman" w:hAnsi="Times New Roman"/>
          <w:b w:val="1"/>
          <w:sz w:val="48"/>
          <w:szCs w:val="48"/>
        </w:rPr>
      </w:pPr>
      <w:r w:rsidDel="00000000" w:rsidR="00000000" w:rsidRPr="00000000">
        <w:rPr>
          <w:rFonts w:ascii="Times New Roman" w:cs="Times New Roman" w:eastAsia="Times New Roman" w:hAnsi="Times New Roman"/>
          <w:b w:val="1"/>
          <w:sz w:val="48"/>
          <w:szCs w:val="48"/>
          <w:rtl w:val="0"/>
        </w:rPr>
        <w:t xml:space="preserve">Opis Przedmiotu Zamówienia</w:t>
      </w:r>
    </w:p>
    <w:p w:rsidR="00000000" w:rsidDel="00000000" w:rsidP="00000000" w:rsidRDefault="00000000" w:rsidRPr="00000000" w14:paraId="0000000A">
      <w:pPr>
        <w:ind w:left="-141" w:firstLine="0"/>
        <w:jc w:val="center"/>
        <w:rPr>
          <w:rFonts w:ascii="Times New Roman" w:cs="Times New Roman" w:eastAsia="Times New Roman" w:hAnsi="Times New Roman"/>
          <w:b w:val="1"/>
          <w:sz w:val="34"/>
          <w:szCs w:val="34"/>
        </w:rPr>
      </w:pPr>
      <w:r w:rsidDel="00000000" w:rsidR="00000000" w:rsidRPr="00000000">
        <w:rPr>
          <w:rFonts w:ascii="Times New Roman" w:cs="Times New Roman" w:eastAsia="Times New Roman" w:hAnsi="Times New Roman"/>
          <w:b w:val="1"/>
          <w:sz w:val="34"/>
          <w:szCs w:val="34"/>
          <w:rtl w:val="0"/>
        </w:rPr>
        <w:t xml:space="preserve">na oprogramowanie, przetestowanie i uruchomienie narzędzia do monitorowania, realizowanych przez ministrów właściwych procesów włączania kwalifikacji do ZSK </w:t>
      </w:r>
    </w:p>
    <w:p w:rsidR="00000000" w:rsidDel="00000000" w:rsidP="00000000" w:rsidRDefault="00000000" w:rsidRPr="00000000" w14:paraId="0000000B">
      <w:pPr>
        <w:ind w:left="-141" w:firstLine="0"/>
        <w:jc w:val="center"/>
        <w:rPr>
          <w:rFonts w:ascii="Times New Roman" w:cs="Times New Roman" w:eastAsia="Times New Roman" w:hAnsi="Times New Roman"/>
          <w:b w:val="1"/>
          <w:sz w:val="36"/>
          <w:szCs w:val="36"/>
        </w:rPr>
      </w:pPr>
      <w:r w:rsidDel="00000000" w:rsidR="00000000" w:rsidRPr="00000000">
        <w:rPr>
          <w:rFonts w:ascii="Times New Roman" w:cs="Times New Roman" w:eastAsia="Times New Roman" w:hAnsi="Times New Roman"/>
          <w:b w:val="1"/>
          <w:sz w:val="34"/>
          <w:szCs w:val="34"/>
          <w:rtl w:val="0"/>
        </w:rPr>
        <w:t xml:space="preserve">(tzw. Tabeli Monitorującej)</w:t>
      </w:r>
      <w:r w:rsidDel="00000000" w:rsidR="00000000" w:rsidRPr="00000000">
        <w:rPr>
          <w:rtl w:val="0"/>
        </w:rPr>
      </w:r>
    </w:p>
    <w:p w:rsidR="00000000" w:rsidDel="00000000" w:rsidP="00000000" w:rsidRDefault="00000000" w:rsidRPr="00000000" w14:paraId="0000000C">
      <w:pPr>
        <w:spacing w:after="200" w:before="200" w:lineRule="auto"/>
        <w:ind w:firstLine="708"/>
        <w:rPr>
          <w:rFonts w:ascii="Times New Roman" w:cs="Times New Roman" w:eastAsia="Times New Roman" w:hAnsi="Times New Roman"/>
          <w:b w:val="1"/>
          <w:sz w:val="34"/>
          <w:szCs w:val="34"/>
        </w:rPr>
      </w:pPr>
      <w:r w:rsidDel="00000000" w:rsidR="00000000" w:rsidRPr="00000000">
        <w:rPr>
          <w:rtl w:val="0"/>
        </w:rPr>
      </w:r>
    </w:p>
    <w:p w:rsidR="00000000" w:rsidDel="00000000" w:rsidP="00000000" w:rsidRDefault="00000000" w:rsidRPr="00000000" w14:paraId="0000000D">
      <w:pPr>
        <w:spacing w:after="200" w:before="200" w:lineRule="auto"/>
        <w:ind w:firstLine="708"/>
        <w:rPr>
          <w:rFonts w:ascii="Times New Roman" w:cs="Times New Roman" w:eastAsia="Times New Roman" w:hAnsi="Times New Roman"/>
          <w:b w:val="1"/>
          <w:sz w:val="34"/>
          <w:szCs w:val="34"/>
        </w:rPr>
      </w:pPr>
      <w:r w:rsidDel="00000000" w:rsidR="00000000" w:rsidRPr="00000000">
        <w:br w:type="page"/>
      </w:r>
      <w:r w:rsidDel="00000000" w:rsidR="00000000" w:rsidRPr="00000000">
        <w:rPr>
          <w:rtl w:val="0"/>
        </w:rPr>
      </w:r>
    </w:p>
    <w:p w:rsidR="00000000" w:rsidDel="00000000" w:rsidP="00000000" w:rsidRDefault="00000000" w:rsidRPr="00000000" w14:paraId="0000000E">
      <w:pPr>
        <w:spacing w:after="200" w:before="200" w:lineRule="auto"/>
        <w:ind w:firstLine="708"/>
        <w:rPr>
          <w:rFonts w:ascii="Times New Roman" w:cs="Times New Roman" w:eastAsia="Times New Roman" w:hAnsi="Times New Roman"/>
          <w:b w:val="1"/>
          <w:sz w:val="34"/>
          <w:szCs w:val="34"/>
        </w:rPr>
      </w:pPr>
      <w:r w:rsidDel="00000000" w:rsidR="00000000" w:rsidRPr="00000000">
        <w:rPr>
          <w:rFonts w:ascii="Times New Roman" w:cs="Times New Roman" w:eastAsia="Times New Roman" w:hAnsi="Times New Roman"/>
          <w:b w:val="1"/>
          <w:sz w:val="34"/>
          <w:szCs w:val="34"/>
          <w:rtl w:val="0"/>
        </w:rPr>
        <w:t xml:space="preserve">Spis treści</w:t>
      </w:r>
    </w:p>
    <w:sdt>
      <w:sdtPr>
        <w:docPartObj>
          <w:docPartGallery w:val="Table of Contents"/>
          <w:docPartUnique w:val="1"/>
        </w:docPartObj>
      </w:sdtPr>
      <w:sdtContent>
        <w:p w:rsidR="00000000" w:rsidDel="00000000" w:rsidP="00000000" w:rsidRDefault="00000000" w:rsidRPr="00000000" w14:paraId="0000000F">
          <w:pPr>
            <w:widowControl w:val="0"/>
            <w:tabs>
              <w:tab w:val="right" w:leader="none" w:pos="12000"/>
            </w:tabs>
            <w:spacing w:before="60" w:line="240" w:lineRule="auto"/>
            <w:rPr>
              <w:b w:val="1"/>
              <w:color w:val="000000"/>
            </w:rPr>
          </w:pPr>
          <w:r w:rsidDel="00000000" w:rsidR="00000000" w:rsidRPr="00000000">
            <w:fldChar w:fldCharType="begin"/>
            <w:instrText xml:space="preserve"> TOC \h \u \z \t "Heading 1,1,Heading 2,2,Heading 3,3,Heading 4,4,Heading 5,5,Heading 6,6,"</w:instrText>
            <w:fldChar w:fldCharType="separate"/>
          </w:r>
          <w:r w:rsidDel="00000000" w:rsidR="00000000" w:rsidRPr="00000000">
            <w:rPr>
              <w:b w:val="1"/>
              <w:color w:val="000000"/>
              <w:rtl w:val="0"/>
            </w:rPr>
            <w:t xml:space="preserve">1. Zamawiający</w:t>
            <w:tab/>
            <w:t xml:space="preserve">5</w:t>
          </w:r>
        </w:p>
        <w:p w:rsidR="00000000" w:rsidDel="00000000" w:rsidP="00000000" w:rsidRDefault="00000000" w:rsidRPr="00000000" w14:paraId="00000010">
          <w:pPr>
            <w:widowControl w:val="0"/>
            <w:tabs>
              <w:tab w:val="right" w:leader="none" w:pos="12000"/>
            </w:tabs>
            <w:spacing w:before="60" w:line="240" w:lineRule="auto"/>
            <w:rPr>
              <w:b w:val="1"/>
              <w:color w:val="000000"/>
            </w:rPr>
          </w:pPr>
          <w:r w:rsidDel="00000000" w:rsidR="00000000" w:rsidRPr="00000000">
            <w:rPr>
              <w:b w:val="1"/>
              <w:color w:val="000000"/>
              <w:rtl w:val="0"/>
            </w:rPr>
            <w:t xml:space="preserve">2. Informacje o projekcie</w:t>
            <w:tab/>
            <w:t xml:space="preserve">5</w:t>
          </w:r>
        </w:p>
        <w:p w:rsidR="00000000" w:rsidDel="00000000" w:rsidP="00000000" w:rsidRDefault="00000000" w:rsidRPr="00000000" w14:paraId="00000011">
          <w:pPr>
            <w:widowControl w:val="0"/>
            <w:tabs>
              <w:tab w:val="right" w:leader="none" w:pos="12000"/>
            </w:tabs>
            <w:spacing w:before="60" w:line="240" w:lineRule="auto"/>
            <w:rPr>
              <w:b w:val="1"/>
              <w:color w:val="000000"/>
            </w:rPr>
          </w:pPr>
          <w:r w:rsidDel="00000000" w:rsidR="00000000" w:rsidRPr="00000000">
            <w:rPr>
              <w:b w:val="1"/>
              <w:color w:val="000000"/>
              <w:rtl w:val="0"/>
            </w:rPr>
            <w:t xml:space="preserve">3. Słownik</w:t>
            <w:tab/>
            <w:t xml:space="preserve">7</w:t>
          </w:r>
        </w:p>
        <w:p w:rsidR="00000000" w:rsidDel="00000000" w:rsidP="00000000" w:rsidRDefault="00000000" w:rsidRPr="00000000" w14:paraId="00000012">
          <w:pPr>
            <w:widowControl w:val="0"/>
            <w:tabs>
              <w:tab w:val="right" w:leader="none" w:pos="12000"/>
            </w:tabs>
            <w:spacing w:before="60" w:line="240" w:lineRule="auto"/>
            <w:rPr>
              <w:b w:val="1"/>
              <w:color w:val="000000"/>
            </w:rPr>
          </w:pPr>
          <w:r w:rsidDel="00000000" w:rsidR="00000000" w:rsidRPr="00000000">
            <w:rPr>
              <w:b w:val="1"/>
              <w:color w:val="000000"/>
              <w:rtl w:val="0"/>
            </w:rPr>
            <w:t xml:space="preserve">4. Stan obecny</w:t>
            <w:tab/>
            <w:t xml:space="preserve">8</w:t>
          </w:r>
        </w:p>
        <w:p w:rsidR="00000000" w:rsidDel="00000000" w:rsidP="00000000" w:rsidRDefault="00000000" w:rsidRPr="00000000" w14:paraId="00000013">
          <w:pPr>
            <w:widowControl w:val="0"/>
            <w:tabs>
              <w:tab w:val="right" w:leader="none" w:pos="12000"/>
            </w:tabs>
            <w:spacing w:before="60" w:line="240" w:lineRule="auto"/>
            <w:ind w:left="360" w:firstLine="0"/>
            <w:rPr>
              <w:color w:val="000000"/>
            </w:rPr>
          </w:pPr>
          <w:hyperlink w:anchor="_heading=h.gjdgxs">
            <w:r w:rsidDel="00000000" w:rsidR="00000000" w:rsidRPr="00000000">
              <w:rPr>
                <w:color w:val="000000"/>
                <w:rtl w:val="0"/>
              </w:rPr>
              <w:t xml:space="preserve">4.1. Ogólna charakterystyka obecnego rozwiązania</w:t>
              <w:tab/>
              <w:t xml:space="preserve">8</w:t>
            </w:r>
          </w:hyperlink>
          <w:r w:rsidDel="00000000" w:rsidR="00000000" w:rsidRPr="00000000">
            <w:rPr>
              <w:rtl w:val="0"/>
            </w:rPr>
          </w:r>
        </w:p>
        <w:p w:rsidR="00000000" w:rsidDel="00000000" w:rsidP="00000000" w:rsidRDefault="00000000" w:rsidRPr="00000000" w14:paraId="00000014">
          <w:pPr>
            <w:widowControl w:val="0"/>
            <w:tabs>
              <w:tab w:val="right" w:leader="none" w:pos="12000"/>
            </w:tabs>
            <w:spacing w:before="60" w:line="240" w:lineRule="auto"/>
            <w:ind w:left="360" w:firstLine="0"/>
            <w:rPr>
              <w:color w:val="000000"/>
            </w:rPr>
          </w:pPr>
          <w:hyperlink w:anchor="_heading=h.30j0zll">
            <w:r w:rsidDel="00000000" w:rsidR="00000000" w:rsidRPr="00000000">
              <w:rPr>
                <w:color w:val="000000"/>
                <w:rtl w:val="0"/>
              </w:rPr>
              <w:t xml:space="preserve">4.2. Charakterystyka poszczególnych tabel</w:t>
              <w:tab/>
              <w:t xml:space="preserve">10</w:t>
            </w:r>
          </w:hyperlink>
          <w:r w:rsidDel="00000000" w:rsidR="00000000" w:rsidRPr="00000000">
            <w:rPr>
              <w:rtl w:val="0"/>
            </w:rPr>
          </w:r>
        </w:p>
        <w:p w:rsidR="00000000" w:rsidDel="00000000" w:rsidP="00000000" w:rsidRDefault="00000000" w:rsidRPr="00000000" w14:paraId="00000015">
          <w:pPr>
            <w:widowControl w:val="0"/>
            <w:tabs>
              <w:tab w:val="right" w:leader="none" w:pos="12000"/>
            </w:tabs>
            <w:spacing w:before="60" w:line="240" w:lineRule="auto"/>
            <w:ind w:left="720" w:firstLine="0"/>
            <w:rPr>
              <w:color w:val="000000"/>
            </w:rPr>
          </w:pPr>
          <w:hyperlink w:anchor="_heading=h.1fob9te">
            <w:r w:rsidDel="00000000" w:rsidR="00000000" w:rsidRPr="00000000">
              <w:rPr>
                <w:color w:val="000000"/>
                <w:rtl w:val="0"/>
              </w:rPr>
              <w:t xml:space="preserve">4.2.1. Tabela “Lista-wnioski rozpatrywane”</w:t>
              <w:tab/>
              <w:t xml:space="preserve">10</w:t>
            </w:r>
          </w:hyperlink>
          <w:r w:rsidDel="00000000" w:rsidR="00000000" w:rsidRPr="00000000">
            <w:rPr>
              <w:rtl w:val="0"/>
            </w:rPr>
          </w:r>
        </w:p>
        <w:p w:rsidR="00000000" w:rsidDel="00000000" w:rsidP="00000000" w:rsidRDefault="00000000" w:rsidRPr="00000000" w14:paraId="00000016">
          <w:pPr>
            <w:widowControl w:val="0"/>
            <w:tabs>
              <w:tab w:val="right" w:leader="none" w:pos="12000"/>
            </w:tabs>
            <w:spacing w:before="60" w:line="240" w:lineRule="auto"/>
            <w:ind w:left="720" w:firstLine="0"/>
            <w:rPr>
              <w:color w:val="000000"/>
            </w:rPr>
          </w:pPr>
          <w:hyperlink w:anchor="_heading=h.3znysh7">
            <w:r w:rsidDel="00000000" w:rsidR="00000000" w:rsidRPr="00000000">
              <w:rPr>
                <w:color w:val="000000"/>
                <w:rtl w:val="0"/>
              </w:rPr>
              <w:t xml:space="preserve">4.2.2. Tabela “Lista kwalifikacje funkcjonujące, umowa z PZZJ”</w:t>
              <w:tab/>
              <w:t xml:space="preserve">13</w:t>
            </w:r>
          </w:hyperlink>
          <w:r w:rsidDel="00000000" w:rsidR="00000000" w:rsidRPr="00000000">
            <w:rPr>
              <w:rtl w:val="0"/>
            </w:rPr>
          </w:r>
        </w:p>
        <w:p w:rsidR="00000000" w:rsidDel="00000000" w:rsidP="00000000" w:rsidRDefault="00000000" w:rsidRPr="00000000" w14:paraId="00000017">
          <w:pPr>
            <w:widowControl w:val="0"/>
            <w:tabs>
              <w:tab w:val="right" w:leader="none" w:pos="12000"/>
            </w:tabs>
            <w:spacing w:before="60" w:line="240" w:lineRule="auto"/>
            <w:ind w:left="720" w:firstLine="0"/>
            <w:rPr>
              <w:color w:val="000000"/>
            </w:rPr>
          </w:pPr>
          <w:hyperlink w:anchor="_heading=h.2et92p0">
            <w:r w:rsidDel="00000000" w:rsidR="00000000" w:rsidRPr="00000000">
              <w:rPr>
                <w:color w:val="000000"/>
                <w:rtl w:val="0"/>
              </w:rPr>
              <w:t xml:space="preserve">4.2.3. Tabela “Lista-wnioski rozpatrzone neg”</w:t>
              <w:tab/>
              <w:t xml:space="preserve">16</w:t>
            </w:r>
          </w:hyperlink>
          <w:r w:rsidDel="00000000" w:rsidR="00000000" w:rsidRPr="00000000">
            <w:rPr>
              <w:rtl w:val="0"/>
            </w:rPr>
          </w:r>
        </w:p>
        <w:p w:rsidR="00000000" w:rsidDel="00000000" w:rsidP="00000000" w:rsidRDefault="00000000" w:rsidRPr="00000000" w14:paraId="00000018">
          <w:pPr>
            <w:widowControl w:val="0"/>
            <w:tabs>
              <w:tab w:val="right" w:leader="none" w:pos="12000"/>
            </w:tabs>
            <w:spacing w:before="60" w:line="240" w:lineRule="auto"/>
            <w:ind w:left="720" w:firstLine="0"/>
            <w:rPr>
              <w:color w:val="000000"/>
            </w:rPr>
          </w:pPr>
          <w:hyperlink w:anchor="_heading=h.tyjcwt">
            <w:r w:rsidDel="00000000" w:rsidR="00000000" w:rsidRPr="00000000">
              <w:rPr>
                <w:color w:val="000000"/>
                <w:rtl w:val="0"/>
              </w:rPr>
              <w:t xml:space="preserve">4.2.4. Tabela “Podsumowanie ministerstwa”</w:t>
              <w:tab/>
              <w:t xml:space="preserve">18</w:t>
            </w:r>
          </w:hyperlink>
          <w:r w:rsidDel="00000000" w:rsidR="00000000" w:rsidRPr="00000000">
            <w:rPr>
              <w:rtl w:val="0"/>
            </w:rPr>
          </w:r>
        </w:p>
        <w:p w:rsidR="00000000" w:rsidDel="00000000" w:rsidP="00000000" w:rsidRDefault="00000000" w:rsidRPr="00000000" w14:paraId="00000019">
          <w:pPr>
            <w:widowControl w:val="0"/>
            <w:tabs>
              <w:tab w:val="right" w:leader="none" w:pos="12000"/>
            </w:tabs>
            <w:spacing w:before="60" w:line="240" w:lineRule="auto"/>
            <w:ind w:left="720" w:firstLine="0"/>
            <w:rPr>
              <w:color w:val="000000"/>
            </w:rPr>
          </w:pPr>
          <w:hyperlink w:anchor="_heading=h.3dy6vkm">
            <w:r w:rsidDel="00000000" w:rsidR="00000000" w:rsidRPr="00000000">
              <w:rPr>
                <w:color w:val="000000"/>
                <w:rtl w:val="0"/>
              </w:rPr>
              <w:t xml:space="preserve">4.2.5. Tabela “Podsumowanie stanu prac”</w:t>
              <w:tab/>
              <w:t xml:space="preserve">19</w:t>
            </w:r>
          </w:hyperlink>
          <w:r w:rsidDel="00000000" w:rsidR="00000000" w:rsidRPr="00000000">
            <w:rPr>
              <w:rtl w:val="0"/>
            </w:rPr>
          </w:r>
        </w:p>
        <w:p w:rsidR="00000000" w:rsidDel="00000000" w:rsidP="00000000" w:rsidRDefault="00000000" w:rsidRPr="00000000" w14:paraId="0000001A">
          <w:pPr>
            <w:widowControl w:val="0"/>
            <w:tabs>
              <w:tab w:val="right" w:leader="none" w:pos="12000"/>
            </w:tabs>
            <w:spacing w:before="60" w:line="240" w:lineRule="auto"/>
            <w:ind w:left="720" w:firstLine="0"/>
            <w:rPr>
              <w:color w:val="000000"/>
            </w:rPr>
          </w:pPr>
          <w:hyperlink w:anchor="_heading=h.1t3h5sf">
            <w:r w:rsidDel="00000000" w:rsidR="00000000" w:rsidRPr="00000000">
              <w:rPr>
                <w:color w:val="000000"/>
                <w:rtl w:val="0"/>
              </w:rPr>
              <w:t xml:space="preserve">4.2.6. Tabela “Kwalifikacje wskaźniki”</w:t>
              <w:tab/>
              <w:t xml:space="preserve">20</w:t>
            </w:r>
          </w:hyperlink>
          <w:r w:rsidDel="00000000" w:rsidR="00000000" w:rsidRPr="00000000">
            <w:rPr>
              <w:rtl w:val="0"/>
            </w:rPr>
          </w:r>
        </w:p>
        <w:p w:rsidR="00000000" w:rsidDel="00000000" w:rsidP="00000000" w:rsidRDefault="00000000" w:rsidRPr="00000000" w14:paraId="0000001B">
          <w:pPr>
            <w:widowControl w:val="0"/>
            <w:tabs>
              <w:tab w:val="right" w:leader="none" w:pos="12000"/>
            </w:tabs>
            <w:spacing w:before="60" w:line="240" w:lineRule="auto"/>
            <w:ind w:left="720" w:firstLine="0"/>
            <w:rPr>
              <w:color w:val="000000"/>
            </w:rPr>
          </w:pPr>
          <w:hyperlink w:anchor="_heading=h.4d34og8">
            <w:r w:rsidDel="00000000" w:rsidR="00000000" w:rsidRPr="00000000">
              <w:rPr>
                <w:color w:val="000000"/>
                <w:rtl w:val="0"/>
              </w:rPr>
              <w:t xml:space="preserve">4.2.7. Tabela “Projekty kwalifikacji wsp.z IBE”</w:t>
              <w:tab/>
              <w:t xml:space="preserve">20</w:t>
            </w:r>
          </w:hyperlink>
          <w:r w:rsidDel="00000000" w:rsidR="00000000" w:rsidRPr="00000000">
            <w:rPr>
              <w:rtl w:val="0"/>
            </w:rPr>
          </w:r>
        </w:p>
        <w:p w:rsidR="00000000" w:rsidDel="00000000" w:rsidP="00000000" w:rsidRDefault="00000000" w:rsidRPr="00000000" w14:paraId="0000001C">
          <w:pPr>
            <w:widowControl w:val="0"/>
            <w:tabs>
              <w:tab w:val="right" w:leader="none" w:pos="12000"/>
            </w:tabs>
            <w:spacing w:before="60" w:line="240" w:lineRule="auto"/>
            <w:ind w:left="720" w:firstLine="0"/>
            <w:rPr>
              <w:color w:val="000000"/>
            </w:rPr>
          </w:pPr>
          <w:hyperlink w:anchor="_heading=h.2s8eyo1">
            <w:r w:rsidDel="00000000" w:rsidR="00000000" w:rsidRPr="00000000">
              <w:rPr>
                <w:color w:val="000000"/>
                <w:rtl w:val="0"/>
              </w:rPr>
              <w:t xml:space="preserve">4.2.8. Tabela “Lista statusów”</w:t>
              <w:tab/>
              <w:t xml:space="preserve">21</w:t>
            </w:r>
          </w:hyperlink>
          <w:r w:rsidDel="00000000" w:rsidR="00000000" w:rsidRPr="00000000">
            <w:rPr>
              <w:rtl w:val="0"/>
            </w:rPr>
          </w:r>
        </w:p>
        <w:p w:rsidR="00000000" w:rsidDel="00000000" w:rsidP="00000000" w:rsidRDefault="00000000" w:rsidRPr="00000000" w14:paraId="0000001D">
          <w:pPr>
            <w:widowControl w:val="0"/>
            <w:tabs>
              <w:tab w:val="right" w:leader="none" w:pos="12000"/>
            </w:tabs>
            <w:spacing w:before="60" w:line="240" w:lineRule="auto"/>
            <w:ind w:left="720" w:firstLine="0"/>
            <w:rPr>
              <w:color w:val="000000"/>
            </w:rPr>
          </w:pPr>
          <w:hyperlink w:anchor="_heading=h.17dp8vu">
            <w:r w:rsidDel="00000000" w:rsidR="00000000" w:rsidRPr="00000000">
              <w:rPr>
                <w:color w:val="000000"/>
                <w:rtl w:val="0"/>
              </w:rPr>
              <w:t xml:space="preserve">4.2.9. Tabela “Lista historia zmian”</w:t>
              <w:tab/>
              <w:t xml:space="preserve">21</w:t>
            </w:r>
          </w:hyperlink>
          <w:r w:rsidDel="00000000" w:rsidR="00000000" w:rsidRPr="00000000">
            <w:rPr>
              <w:rtl w:val="0"/>
            </w:rPr>
          </w:r>
        </w:p>
        <w:p w:rsidR="00000000" w:rsidDel="00000000" w:rsidP="00000000" w:rsidRDefault="00000000" w:rsidRPr="00000000" w14:paraId="0000001E">
          <w:pPr>
            <w:widowControl w:val="0"/>
            <w:tabs>
              <w:tab w:val="right" w:leader="none" w:pos="12000"/>
            </w:tabs>
            <w:spacing w:before="60" w:line="240" w:lineRule="auto"/>
            <w:ind w:left="720" w:firstLine="0"/>
            <w:rPr>
              <w:color w:val="000000"/>
            </w:rPr>
          </w:pPr>
          <w:hyperlink w:anchor="_heading=h.3rdcrjn">
            <w:r w:rsidDel="00000000" w:rsidR="00000000" w:rsidRPr="00000000">
              <w:rPr>
                <w:color w:val="000000"/>
                <w:rtl w:val="0"/>
              </w:rPr>
              <w:t xml:space="preserve">4.2.10. Tabela “Słownik wskaźnika projektów ZSK”</w:t>
              <w:tab/>
              <w:t xml:space="preserve">22</w:t>
            </w:r>
          </w:hyperlink>
          <w:r w:rsidDel="00000000" w:rsidR="00000000" w:rsidRPr="00000000">
            <w:rPr>
              <w:rtl w:val="0"/>
            </w:rPr>
          </w:r>
        </w:p>
        <w:p w:rsidR="00000000" w:rsidDel="00000000" w:rsidP="00000000" w:rsidRDefault="00000000" w:rsidRPr="00000000" w14:paraId="0000001F">
          <w:pPr>
            <w:widowControl w:val="0"/>
            <w:tabs>
              <w:tab w:val="right" w:leader="none" w:pos="12000"/>
            </w:tabs>
            <w:spacing w:before="60" w:line="240" w:lineRule="auto"/>
            <w:rPr>
              <w:b w:val="1"/>
              <w:color w:val="000000"/>
            </w:rPr>
          </w:pPr>
          <w:hyperlink w:anchor="_heading=h.26in1rg">
            <w:r w:rsidDel="00000000" w:rsidR="00000000" w:rsidRPr="00000000">
              <w:rPr>
                <w:b w:val="1"/>
                <w:color w:val="000000"/>
                <w:rtl w:val="0"/>
              </w:rPr>
              <w:t xml:space="preserve">5. Przedmiot zamówienia</w:t>
              <w:tab/>
              <w:t xml:space="preserve">22</w:t>
            </w:r>
          </w:hyperlink>
          <w:r w:rsidDel="00000000" w:rsidR="00000000" w:rsidRPr="00000000">
            <w:rPr>
              <w:rtl w:val="0"/>
            </w:rPr>
          </w:r>
        </w:p>
        <w:p w:rsidR="00000000" w:rsidDel="00000000" w:rsidP="00000000" w:rsidRDefault="00000000" w:rsidRPr="00000000" w14:paraId="00000020">
          <w:pPr>
            <w:widowControl w:val="0"/>
            <w:tabs>
              <w:tab w:val="right" w:leader="none" w:pos="12000"/>
            </w:tabs>
            <w:spacing w:before="60" w:line="240" w:lineRule="auto"/>
            <w:ind w:left="360" w:firstLine="0"/>
            <w:rPr>
              <w:color w:val="000000"/>
            </w:rPr>
          </w:pPr>
          <w:hyperlink w:anchor="_heading=h.lnxbz9">
            <w:r w:rsidDel="00000000" w:rsidR="00000000" w:rsidRPr="00000000">
              <w:rPr>
                <w:color w:val="000000"/>
                <w:rtl w:val="0"/>
              </w:rPr>
              <w:t xml:space="preserve">5.1. Elementy i funkcjonalności narzędzia</w:t>
              <w:tab/>
              <w:t xml:space="preserve">22</w:t>
            </w:r>
          </w:hyperlink>
          <w:r w:rsidDel="00000000" w:rsidR="00000000" w:rsidRPr="00000000">
            <w:rPr>
              <w:rtl w:val="0"/>
            </w:rPr>
          </w:r>
        </w:p>
        <w:p w:rsidR="00000000" w:rsidDel="00000000" w:rsidP="00000000" w:rsidRDefault="00000000" w:rsidRPr="00000000" w14:paraId="00000021">
          <w:pPr>
            <w:widowControl w:val="0"/>
            <w:tabs>
              <w:tab w:val="right" w:leader="none" w:pos="12000"/>
            </w:tabs>
            <w:spacing w:before="60" w:line="240" w:lineRule="auto"/>
            <w:ind w:left="720" w:firstLine="0"/>
            <w:rPr>
              <w:color w:val="000000"/>
            </w:rPr>
          </w:pPr>
          <w:hyperlink w:anchor="_heading=h.35nkun2">
            <w:r w:rsidDel="00000000" w:rsidR="00000000" w:rsidRPr="00000000">
              <w:rPr>
                <w:color w:val="000000"/>
                <w:rtl w:val="0"/>
              </w:rPr>
              <w:t xml:space="preserve">5.1.1. Baza danych narzędzia</w:t>
              <w:tab/>
              <w:t xml:space="preserve">22</w:t>
            </w:r>
          </w:hyperlink>
          <w:r w:rsidDel="00000000" w:rsidR="00000000" w:rsidRPr="00000000">
            <w:rPr>
              <w:rtl w:val="0"/>
            </w:rPr>
          </w:r>
        </w:p>
        <w:p w:rsidR="00000000" w:rsidDel="00000000" w:rsidP="00000000" w:rsidRDefault="00000000" w:rsidRPr="00000000" w14:paraId="00000022">
          <w:pPr>
            <w:widowControl w:val="0"/>
            <w:tabs>
              <w:tab w:val="right" w:leader="none" w:pos="12000"/>
            </w:tabs>
            <w:spacing w:before="60" w:line="240" w:lineRule="auto"/>
            <w:ind w:left="1080" w:firstLine="0"/>
            <w:rPr>
              <w:color w:val="000000"/>
            </w:rPr>
          </w:pPr>
          <w:hyperlink w:anchor="_heading=h.1ksv4uv">
            <w:r w:rsidDel="00000000" w:rsidR="00000000" w:rsidRPr="00000000">
              <w:rPr>
                <w:color w:val="000000"/>
                <w:rtl w:val="0"/>
              </w:rPr>
              <w:t xml:space="preserve">5.1.1.1. Projektowanie bazy danych narzędzia</w:t>
              <w:tab/>
              <w:t xml:space="preserve">23</w:t>
            </w:r>
          </w:hyperlink>
          <w:r w:rsidDel="00000000" w:rsidR="00000000" w:rsidRPr="00000000">
            <w:rPr>
              <w:rtl w:val="0"/>
            </w:rPr>
          </w:r>
        </w:p>
        <w:p w:rsidR="00000000" w:rsidDel="00000000" w:rsidP="00000000" w:rsidRDefault="00000000" w:rsidRPr="00000000" w14:paraId="00000023">
          <w:pPr>
            <w:widowControl w:val="0"/>
            <w:tabs>
              <w:tab w:val="right" w:leader="none" w:pos="12000"/>
            </w:tabs>
            <w:spacing w:before="60" w:line="240" w:lineRule="auto"/>
            <w:ind w:left="720" w:firstLine="0"/>
            <w:rPr>
              <w:color w:val="000000"/>
            </w:rPr>
          </w:pPr>
          <w:hyperlink w:anchor="_heading=h.44sinio">
            <w:r w:rsidDel="00000000" w:rsidR="00000000" w:rsidRPr="00000000">
              <w:rPr>
                <w:color w:val="000000"/>
                <w:rtl w:val="0"/>
              </w:rPr>
              <w:t xml:space="preserve">5.1.2. Migracja danych z obecnej Tabeli Monitorującej</w:t>
              <w:tab/>
              <w:t xml:space="preserve">23</w:t>
            </w:r>
          </w:hyperlink>
          <w:r w:rsidDel="00000000" w:rsidR="00000000" w:rsidRPr="00000000">
            <w:rPr>
              <w:rtl w:val="0"/>
            </w:rPr>
          </w:r>
        </w:p>
        <w:p w:rsidR="00000000" w:rsidDel="00000000" w:rsidP="00000000" w:rsidRDefault="00000000" w:rsidRPr="00000000" w14:paraId="00000024">
          <w:pPr>
            <w:widowControl w:val="0"/>
            <w:tabs>
              <w:tab w:val="right" w:leader="none" w:pos="12000"/>
            </w:tabs>
            <w:spacing w:before="60" w:line="240" w:lineRule="auto"/>
            <w:ind w:left="1080" w:firstLine="0"/>
            <w:rPr>
              <w:color w:val="000000"/>
            </w:rPr>
          </w:pPr>
          <w:hyperlink w:anchor="_heading=h.2jxsxqh">
            <w:r w:rsidDel="00000000" w:rsidR="00000000" w:rsidRPr="00000000">
              <w:rPr>
                <w:color w:val="000000"/>
                <w:rtl w:val="0"/>
              </w:rPr>
              <w:t xml:space="preserve">5.1.2.1. Analiza danych źródłowych</w:t>
              <w:tab/>
              <w:t xml:space="preserve">23</w:t>
            </w:r>
          </w:hyperlink>
          <w:r w:rsidDel="00000000" w:rsidR="00000000" w:rsidRPr="00000000">
            <w:rPr>
              <w:rtl w:val="0"/>
            </w:rPr>
          </w:r>
        </w:p>
        <w:p w:rsidR="00000000" w:rsidDel="00000000" w:rsidP="00000000" w:rsidRDefault="00000000" w:rsidRPr="00000000" w14:paraId="00000025">
          <w:pPr>
            <w:widowControl w:val="0"/>
            <w:tabs>
              <w:tab w:val="right" w:leader="none" w:pos="12000"/>
            </w:tabs>
            <w:spacing w:before="60" w:line="240" w:lineRule="auto"/>
            <w:ind w:left="1080" w:firstLine="0"/>
            <w:rPr>
              <w:color w:val="000000"/>
            </w:rPr>
          </w:pPr>
          <w:hyperlink w:anchor="_heading=h.z337ya">
            <w:r w:rsidDel="00000000" w:rsidR="00000000" w:rsidRPr="00000000">
              <w:rPr>
                <w:color w:val="000000"/>
                <w:rtl w:val="0"/>
              </w:rPr>
              <w:t xml:space="preserve">5.1.2.2. Przygotowanie skryptów migracyjnych</w:t>
              <w:tab/>
              <w:t xml:space="preserve">24</w:t>
            </w:r>
          </w:hyperlink>
          <w:r w:rsidDel="00000000" w:rsidR="00000000" w:rsidRPr="00000000">
            <w:rPr>
              <w:rtl w:val="0"/>
            </w:rPr>
          </w:r>
        </w:p>
        <w:p w:rsidR="00000000" w:rsidDel="00000000" w:rsidP="00000000" w:rsidRDefault="00000000" w:rsidRPr="00000000" w14:paraId="00000026">
          <w:pPr>
            <w:widowControl w:val="0"/>
            <w:tabs>
              <w:tab w:val="right" w:leader="none" w:pos="12000"/>
            </w:tabs>
            <w:spacing w:before="60" w:line="240" w:lineRule="auto"/>
            <w:ind w:left="1080" w:firstLine="0"/>
            <w:rPr>
              <w:color w:val="000000"/>
            </w:rPr>
          </w:pPr>
          <w:hyperlink w:anchor="_heading=h.3j2qqm3">
            <w:r w:rsidDel="00000000" w:rsidR="00000000" w:rsidRPr="00000000">
              <w:rPr>
                <w:color w:val="000000"/>
                <w:rtl w:val="0"/>
              </w:rPr>
              <w:t xml:space="preserve">5.1.2.3. Plan migracji</w:t>
              <w:tab/>
              <w:t xml:space="preserve">24</w:t>
            </w:r>
          </w:hyperlink>
          <w:r w:rsidDel="00000000" w:rsidR="00000000" w:rsidRPr="00000000">
            <w:rPr>
              <w:rtl w:val="0"/>
            </w:rPr>
          </w:r>
        </w:p>
        <w:p w:rsidR="00000000" w:rsidDel="00000000" w:rsidP="00000000" w:rsidRDefault="00000000" w:rsidRPr="00000000" w14:paraId="00000027">
          <w:pPr>
            <w:widowControl w:val="0"/>
            <w:tabs>
              <w:tab w:val="right" w:leader="none" w:pos="12000"/>
            </w:tabs>
            <w:spacing w:before="60" w:line="240" w:lineRule="auto"/>
            <w:ind w:left="1080" w:firstLine="0"/>
            <w:rPr>
              <w:color w:val="000000"/>
            </w:rPr>
          </w:pPr>
          <w:hyperlink w:anchor="_heading=h.1y810tw">
            <w:r w:rsidDel="00000000" w:rsidR="00000000" w:rsidRPr="00000000">
              <w:rPr>
                <w:color w:val="000000"/>
                <w:rtl w:val="0"/>
              </w:rPr>
              <w:t xml:space="preserve">5.1.2.4. Wykonanie migracji</w:t>
              <w:tab/>
              <w:t xml:space="preserve">24</w:t>
            </w:r>
          </w:hyperlink>
          <w:r w:rsidDel="00000000" w:rsidR="00000000" w:rsidRPr="00000000">
            <w:rPr>
              <w:rtl w:val="0"/>
            </w:rPr>
          </w:r>
        </w:p>
        <w:p w:rsidR="00000000" w:rsidDel="00000000" w:rsidP="00000000" w:rsidRDefault="00000000" w:rsidRPr="00000000" w14:paraId="00000028">
          <w:pPr>
            <w:widowControl w:val="0"/>
            <w:tabs>
              <w:tab w:val="right" w:leader="none" w:pos="12000"/>
            </w:tabs>
            <w:spacing w:before="60" w:line="240" w:lineRule="auto"/>
            <w:ind w:left="1080" w:firstLine="0"/>
            <w:rPr>
              <w:color w:val="000000"/>
            </w:rPr>
          </w:pPr>
          <w:hyperlink w:anchor="_heading=h.4i7ojhp">
            <w:r w:rsidDel="00000000" w:rsidR="00000000" w:rsidRPr="00000000">
              <w:rPr>
                <w:color w:val="000000"/>
                <w:rtl w:val="0"/>
              </w:rPr>
              <w:t xml:space="preserve">5.1.2.5. Weryfikacja migracji</w:t>
              <w:tab/>
              <w:t xml:space="preserve">25</w:t>
            </w:r>
          </w:hyperlink>
          <w:r w:rsidDel="00000000" w:rsidR="00000000" w:rsidRPr="00000000">
            <w:rPr>
              <w:rtl w:val="0"/>
            </w:rPr>
          </w:r>
        </w:p>
        <w:p w:rsidR="00000000" w:rsidDel="00000000" w:rsidP="00000000" w:rsidRDefault="00000000" w:rsidRPr="00000000" w14:paraId="00000029">
          <w:pPr>
            <w:widowControl w:val="0"/>
            <w:tabs>
              <w:tab w:val="right" w:leader="none" w:pos="12000"/>
            </w:tabs>
            <w:spacing w:before="60" w:line="240" w:lineRule="auto"/>
            <w:ind w:left="1080" w:firstLine="0"/>
            <w:rPr>
              <w:color w:val="000000"/>
            </w:rPr>
          </w:pPr>
          <w:hyperlink w:anchor="_heading=h.2xcytpi">
            <w:r w:rsidDel="00000000" w:rsidR="00000000" w:rsidRPr="00000000">
              <w:rPr>
                <w:color w:val="000000"/>
                <w:rtl w:val="0"/>
              </w:rPr>
              <w:t xml:space="preserve">5.1.2.6. Opcjonalnie: Automatyczna aktualizacja danych do czasu pełnego wdrożenia</w:t>
              <w:tab/>
              <w:t xml:space="preserve">25</w:t>
            </w:r>
          </w:hyperlink>
          <w:r w:rsidDel="00000000" w:rsidR="00000000" w:rsidRPr="00000000">
            <w:rPr>
              <w:rtl w:val="0"/>
            </w:rPr>
          </w:r>
        </w:p>
        <w:p w:rsidR="00000000" w:rsidDel="00000000" w:rsidP="00000000" w:rsidRDefault="00000000" w:rsidRPr="00000000" w14:paraId="0000002A">
          <w:pPr>
            <w:widowControl w:val="0"/>
            <w:tabs>
              <w:tab w:val="right" w:leader="none" w:pos="12000"/>
            </w:tabs>
            <w:spacing w:before="60" w:line="240" w:lineRule="auto"/>
            <w:ind w:left="720" w:firstLine="0"/>
            <w:rPr>
              <w:color w:val="000000"/>
            </w:rPr>
          </w:pPr>
          <w:hyperlink w:anchor="_heading=h.1ci93xb">
            <w:r w:rsidDel="00000000" w:rsidR="00000000" w:rsidRPr="00000000">
              <w:rPr>
                <w:color w:val="000000"/>
                <w:rtl w:val="0"/>
              </w:rPr>
              <w:t xml:space="preserve">5.1.3. Integracja z innymi źródłami danych</w:t>
              <w:tab/>
              <w:t xml:space="preserve">25</w:t>
            </w:r>
          </w:hyperlink>
          <w:r w:rsidDel="00000000" w:rsidR="00000000" w:rsidRPr="00000000">
            <w:rPr>
              <w:rtl w:val="0"/>
            </w:rPr>
          </w:r>
        </w:p>
        <w:p w:rsidR="00000000" w:rsidDel="00000000" w:rsidP="00000000" w:rsidRDefault="00000000" w:rsidRPr="00000000" w14:paraId="0000002B">
          <w:pPr>
            <w:widowControl w:val="0"/>
            <w:tabs>
              <w:tab w:val="right" w:leader="none" w:pos="12000"/>
            </w:tabs>
            <w:spacing w:before="60" w:line="240" w:lineRule="auto"/>
            <w:ind w:left="1080" w:firstLine="0"/>
            <w:rPr>
              <w:color w:val="000000"/>
            </w:rPr>
          </w:pPr>
          <w:hyperlink w:anchor="_heading=h.3whwml4">
            <w:r w:rsidDel="00000000" w:rsidR="00000000" w:rsidRPr="00000000">
              <w:rPr>
                <w:color w:val="000000"/>
                <w:rtl w:val="0"/>
              </w:rPr>
              <w:t xml:space="preserve">5.1.3.1. Pobieranie danych z innych systemów przez API</w:t>
              <w:tab/>
              <w:t xml:space="preserve">25</w:t>
            </w:r>
          </w:hyperlink>
          <w:r w:rsidDel="00000000" w:rsidR="00000000" w:rsidRPr="00000000">
            <w:rPr>
              <w:rtl w:val="0"/>
            </w:rPr>
          </w:r>
        </w:p>
        <w:p w:rsidR="00000000" w:rsidDel="00000000" w:rsidP="00000000" w:rsidRDefault="00000000" w:rsidRPr="00000000" w14:paraId="0000002C">
          <w:pPr>
            <w:widowControl w:val="0"/>
            <w:tabs>
              <w:tab w:val="right" w:leader="none" w:pos="12000"/>
            </w:tabs>
            <w:spacing w:before="60" w:line="240" w:lineRule="auto"/>
            <w:ind w:left="1080" w:firstLine="0"/>
            <w:rPr>
              <w:color w:val="000000"/>
            </w:rPr>
          </w:pPr>
          <w:hyperlink w:anchor="_heading=h.2bn6wsx">
            <w:r w:rsidDel="00000000" w:rsidR="00000000" w:rsidRPr="00000000">
              <w:rPr>
                <w:color w:val="000000"/>
                <w:rtl w:val="0"/>
              </w:rPr>
              <w:t xml:space="preserve">5.1.3.2. Bezpośrednie połączenie z bazą danych innej aplikacji</w:t>
              <w:tab/>
              <w:t xml:space="preserve">25</w:t>
            </w:r>
          </w:hyperlink>
          <w:r w:rsidDel="00000000" w:rsidR="00000000" w:rsidRPr="00000000">
            <w:rPr>
              <w:rtl w:val="0"/>
            </w:rPr>
          </w:r>
        </w:p>
        <w:p w:rsidR="00000000" w:rsidDel="00000000" w:rsidP="00000000" w:rsidRDefault="00000000" w:rsidRPr="00000000" w14:paraId="0000002D">
          <w:pPr>
            <w:widowControl w:val="0"/>
            <w:tabs>
              <w:tab w:val="right" w:leader="none" w:pos="12000"/>
            </w:tabs>
            <w:spacing w:before="60" w:line="240" w:lineRule="auto"/>
            <w:ind w:left="1080" w:firstLine="0"/>
            <w:rPr>
              <w:color w:val="000000"/>
            </w:rPr>
          </w:pPr>
          <w:hyperlink w:anchor="_heading=h.qsh70q">
            <w:r w:rsidDel="00000000" w:rsidR="00000000" w:rsidRPr="00000000">
              <w:rPr>
                <w:color w:val="000000"/>
                <w:rtl w:val="0"/>
              </w:rPr>
              <w:t xml:space="preserve">5.1.3.3. Automatyczne pobieranie i aktualizacja danych</w:t>
              <w:tab/>
              <w:t xml:space="preserve">26</w:t>
            </w:r>
          </w:hyperlink>
          <w:r w:rsidDel="00000000" w:rsidR="00000000" w:rsidRPr="00000000">
            <w:rPr>
              <w:rtl w:val="0"/>
            </w:rPr>
          </w:r>
        </w:p>
        <w:p w:rsidR="00000000" w:rsidDel="00000000" w:rsidP="00000000" w:rsidRDefault="00000000" w:rsidRPr="00000000" w14:paraId="0000002E">
          <w:pPr>
            <w:widowControl w:val="0"/>
            <w:tabs>
              <w:tab w:val="right" w:leader="none" w:pos="12000"/>
            </w:tabs>
            <w:spacing w:before="60" w:line="240" w:lineRule="auto"/>
            <w:ind w:left="1080" w:firstLine="0"/>
            <w:rPr>
              <w:color w:val="000000"/>
            </w:rPr>
          </w:pPr>
          <w:hyperlink w:anchor="_heading=h.3as4poj">
            <w:r w:rsidDel="00000000" w:rsidR="00000000" w:rsidRPr="00000000">
              <w:rPr>
                <w:color w:val="000000"/>
                <w:rtl w:val="0"/>
              </w:rPr>
              <w:t xml:space="preserve">5.1.3.4. Bezpieczeństwo integracji</w:t>
              <w:tab/>
              <w:t xml:space="preserve">26</w:t>
            </w:r>
          </w:hyperlink>
          <w:r w:rsidDel="00000000" w:rsidR="00000000" w:rsidRPr="00000000">
            <w:rPr>
              <w:rtl w:val="0"/>
            </w:rPr>
          </w:r>
        </w:p>
        <w:p w:rsidR="00000000" w:rsidDel="00000000" w:rsidP="00000000" w:rsidRDefault="00000000" w:rsidRPr="00000000" w14:paraId="0000002F">
          <w:pPr>
            <w:widowControl w:val="0"/>
            <w:tabs>
              <w:tab w:val="right" w:leader="none" w:pos="12000"/>
            </w:tabs>
            <w:spacing w:before="60" w:line="240" w:lineRule="auto"/>
            <w:ind w:left="1080" w:firstLine="0"/>
            <w:rPr>
              <w:color w:val="000000"/>
            </w:rPr>
          </w:pPr>
          <w:hyperlink w:anchor="_heading=h.1pxezwc">
            <w:r w:rsidDel="00000000" w:rsidR="00000000" w:rsidRPr="00000000">
              <w:rPr>
                <w:color w:val="000000"/>
                <w:rtl w:val="0"/>
              </w:rPr>
              <w:t xml:space="preserve">5.1.3.5. Dokumentacja integracji</w:t>
              <w:tab/>
              <w:t xml:space="preserve">26</w:t>
            </w:r>
          </w:hyperlink>
          <w:r w:rsidDel="00000000" w:rsidR="00000000" w:rsidRPr="00000000">
            <w:rPr>
              <w:rtl w:val="0"/>
            </w:rPr>
          </w:r>
        </w:p>
        <w:p w:rsidR="00000000" w:rsidDel="00000000" w:rsidP="00000000" w:rsidRDefault="00000000" w:rsidRPr="00000000" w14:paraId="00000030">
          <w:pPr>
            <w:widowControl w:val="0"/>
            <w:tabs>
              <w:tab w:val="right" w:leader="none" w:pos="12000"/>
            </w:tabs>
            <w:spacing w:before="60" w:line="240" w:lineRule="auto"/>
            <w:ind w:left="720" w:firstLine="0"/>
            <w:rPr>
              <w:color w:val="000000"/>
            </w:rPr>
          </w:pPr>
          <w:hyperlink w:anchor="_heading=h.49x2ik5">
            <w:r w:rsidDel="00000000" w:rsidR="00000000" w:rsidRPr="00000000">
              <w:rPr>
                <w:color w:val="000000"/>
                <w:rtl w:val="0"/>
              </w:rPr>
              <w:t xml:space="preserve">5.1.4. System zarządzania użytkownikami</w:t>
              <w:tab/>
              <w:t xml:space="preserve">26</w:t>
            </w:r>
          </w:hyperlink>
          <w:r w:rsidDel="00000000" w:rsidR="00000000" w:rsidRPr="00000000">
            <w:rPr>
              <w:rtl w:val="0"/>
            </w:rPr>
          </w:r>
        </w:p>
        <w:p w:rsidR="00000000" w:rsidDel="00000000" w:rsidP="00000000" w:rsidRDefault="00000000" w:rsidRPr="00000000" w14:paraId="00000031">
          <w:pPr>
            <w:widowControl w:val="0"/>
            <w:tabs>
              <w:tab w:val="right" w:leader="none" w:pos="12000"/>
            </w:tabs>
            <w:spacing w:before="60" w:line="240" w:lineRule="auto"/>
            <w:ind w:left="1080" w:firstLine="0"/>
            <w:rPr>
              <w:color w:val="000000"/>
            </w:rPr>
          </w:pPr>
          <w:hyperlink w:anchor="_heading=h.2p2csry">
            <w:r w:rsidDel="00000000" w:rsidR="00000000" w:rsidRPr="00000000">
              <w:rPr>
                <w:color w:val="000000"/>
                <w:rtl w:val="0"/>
              </w:rPr>
              <w:t xml:space="preserve">5.1.4.1. Rejestracja użytkowników</w:t>
              <w:tab/>
              <w:t xml:space="preserve">26</w:t>
            </w:r>
          </w:hyperlink>
          <w:r w:rsidDel="00000000" w:rsidR="00000000" w:rsidRPr="00000000">
            <w:rPr>
              <w:rtl w:val="0"/>
            </w:rPr>
          </w:r>
        </w:p>
        <w:p w:rsidR="00000000" w:rsidDel="00000000" w:rsidP="00000000" w:rsidRDefault="00000000" w:rsidRPr="00000000" w14:paraId="00000032">
          <w:pPr>
            <w:widowControl w:val="0"/>
            <w:tabs>
              <w:tab w:val="right" w:leader="none" w:pos="12000"/>
            </w:tabs>
            <w:spacing w:before="60" w:line="240" w:lineRule="auto"/>
            <w:ind w:left="1080" w:firstLine="0"/>
            <w:rPr>
              <w:color w:val="000000"/>
            </w:rPr>
          </w:pPr>
          <w:hyperlink w:anchor="_heading=h.147n2zr">
            <w:r w:rsidDel="00000000" w:rsidR="00000000" w:rsidRPr="00000000">
              <w:rPr>
                <w:color w:val="000000"/>
                <w:rtl w:val="0"/>
              </w:rPr>
              <w:t xml:space="preserve">5.1.4.2. Integracja z mechanizmem logowania Google</w:t>
              <w:tab/>
              <w:t xml:space="preserve">27</w:t>
            </w:r>
          </w:hyperlink>
          <w:r w:rsidDel="00000000" w:rsidR="00000000" w:rsidRPr="00000000">
            <w:rPr>
              <w:rtl w:val="0"/>
            </w:rPr>
          </w:r>
        </w:p>
        <w:p w:rsidR="00000000" w:rsidDel="00000000" w:rsidP="00000000" w:rsidRDefault="00000000" w:rsidRPr="00000000" w14:paraId="00000033">
          <w:pPr>
            <w:widowControl w:val="0"/>
            <w:tabs>
              <w:tab w:val="right" w:leader="none" w:pos="12000"/>
            </w:tabs>
            <w:spacing w:before="60" w:line="240" w:lineRule="auto"/>
            <w:ind w:left="1080" w:firstLine="0"/>
            <w:rPr>
              <w:color w:val="000000"/>
            </w:rPr>
          </w:pPr>
          <w:hyperlink w:anchor="_heading=h.3o7alnk">
            <w:r w:rsidDel="00000000" w:rsidR="00000000" w:rsidRPr="00000000">
              <w:rPr>
                <w:color w:val="000000"/>
                <w:rtl w:val="0"/>
              </w:rPr>
              <w:t xml:space="preserve">5.1.4.3. Zarządzanie użytkownikami przez Administratora</w:t>
              <w:tab/>
              <w:t xml:space="preserve">28</w:t>
            </w:r>
          </w:hyperlink>
          <w:r w:rsidDel="00000000" w:rsidR="00000000" w:rsidRPr="00000000">
            <w:rPr>
              <w:rtl w:val="0"/>
            </w:rPr>
          </w:r>
        </w:p>
        <w:p w:rsidR="00000000" w:rsidDel="00000000" w:rsidP="00000000" w:rsidRDefault="00000000" w:rsidRPr="00000000" w14:paraId="00000034">
          <w:pPr>
            <w:widowControl w:val="0"/>
            <w:tabs>
              <w:tab w:val="right" w:leader="none" w:pos="12000"/>
            </w:tabs>
            <w:spacing w:before="60" w:line="240" w:lineRule="auto"/>
            <w:ind w:left="1080" w:firstLine="0"/>
            <w:rPr>
              <w:color w:val="000000"/>
            </w:rPr>
          </w:pPr>
          <w:hyperlink w:anchor="_heading=h.23ckvvd">
            <w:r w:rsidDel="00000000" w:rsidR="00000000" w:rsidRPr="00000000">
              <w:rPr>
                <w:color w:val="000000"/>
                <w:rtl w:val="0"/>
              </w:rPr>
              <w:t xml:space="preserve">5.1.4.4. Powiadomienia i komunikacja</w:t>
              <w:tab/>
              <w:t xml:space="preserve">28</w:t>
            </w:r>
          </w:hyperlink>
          <w:r w:rsidDel="00000000" w:rsidR="00000000" w:rsidRPr="00000000">
            <w:rPr>
              <w:rtl w:val="0"/>
            </w:rPr>
          </w:r>
        </w:p>
        <w:p w:rsidR="00000000" w:rsidDel="00000000" w:rsidP="00000000" w:rsidRDefault="00000000" w:rsidRPr="00000000" w14:paraId="00000035">
          <w:pPr>
            <w:widowControl w:val="0"/>
            <w:tabs>
              <w:tab w:val="right" w:leader="none" w:pos="12000"/>
            </w:tabs>
            <w:spacing w:before="60" w:line="240" w:lineRule="auto"/>
            <w:ind w:left="720" w:firstLine="0"/>
            <w:rPr>
              <w:color w:val="000000"/>
            </w:rPr>
          </w:pPr>
          <w:hyperlink w:anchor="_heading=h.ihv636">
            <w:r w:rsidDel="00000000" w:rsidR="00000000" w:rsidRPr="00000000">
              <w:rPr>
                <w:color w:val="000000"/>
                <w:rtl w:val="0"/>
              </w:rPr>
              <w:t xml:space="preserve">5.1.5. Moduł do tagowania danych</w:t>
              <w:tab/>
              <w:t xml:space="preserve">28</w:t>
            </w:r>
          </w:hyperlink>
          <w:r w:rsidDel="00000000" w:rsidR="00000000" w:rsidRPr="00000000">
            <w:rPr>
              <w:rtl w:val="0"/>
            </w:rPr>
          </w:r>
        </w:p>
        <w:p w:rsidR="00000000" w:rsidDel="00000000" w:rsidP="00000000" w:rsidRDefault="00000000" w:rsidRPr="00000000" w14:paraId="00000036">
          <w:pPr>
            <w:widowControl w:val="0"/>
            <w:tabs>
              <w:tab w:val="right" w:leader="none" w:pos="12000"/>
            </w:tabs>
            <w:spacing w:before="60" w:line="240" w:lineRule="auto"/>
            <w:ind w:left="1080" w:firstLine="0"/>
            <w:rPr>
              <w:color w:val="000000"/>
            </w:rPr>
          </w:pPr>
          <w:hyperlink w:anchor="_heading=h.32hioqz">
            <w:r w:rsidDel="00000000" w:rsidR="00000000" w:rsidRPr="00000000">
              <w:rPr>
                <w:color w:val="000000"/>
                <w:rtl w:val="0"/>
              </w:rPr>
              <w:t xml:space="preserve">5.1.5.1. Tworzenie i zarządzanie tagami</w:t>
              <w:tab/>
              <w:t xml:space="preserve">29</w:t>
            </w:r>
          </w:hyperlink>
          <w:r w:rsidDel="00000000" w:rsidR="00000000" w:rsidRPr="00000000">
            <w:rPr>
              <w:rtl w:val="0"/>
            </w:rPr>
          </w:r>
        </w:p>
        <w:p w:rsidR="00000000" w:rsidDel="00000000" w:rsidP="00000000" w:rsidRDefault="00000000" w:rsidRPr="00000000" w14:paraId="00000037">
          <w:pPr>
            <w:widowControl w:val="0"/>
            <w:tabs>
              <w:tab w:val="right" w:leader="none" w:pos="12000"/>
            </w:tabs>
            <w:spacing w:before="60" w:line="240" w:lineRule="auto"/>
            <w:ind w:left="1080" w:firstLine="0"/>
            <w:rPr>
              <w:color w:val="000000"/>
            </w:rPr>
          </w:pPr>
          <w:hyperlink w:anchor="_heading=h.1hmsyys">
            <w:r w:rsidDel="00000000" w:rsidR="00000000" w:rsidRPr="00000000">
              <w:rPr>
                <w:color w:val="000000"/>
                <w:rtl w:val="0"/>
              </w:rPr>
              <w:t xml:space="preserve">5.1.5.2. Przypisywanie tagów do danych</w:t>
              <w:tab/>
              <w:t xml:space="preserve">29</w:t>
            </w:r>
          </w:hyperlink>
          <w:r w:rsidDel="00000000" w:rsidR="00000000" w:rsidRPr="00000000">
            <w:rPr>
              <w:rtl w:val="0"/>
            </w:rPr>
          </w:r>
        </w:p>
        <w:p w:rsidR="00000000" w:rsidDel="00000000" w:rsidP="00000000" w:rsidRDefault="00000000" w:rsidRPr="00000000" w14:paraId="00000038">
          <w:pPr>
            <w:widowControl w:val="0"/>
            <w:tabs>
              <w:tab w:val="right" w:leader="none" w:pos="12000"/>
            </w:tabs>
            <w:spacing w:before="60" w:line="240" w:lineRule="auto"/>
            <w:ind w:left="1080" w:firstLine="0"/>
            <w:rPr>
              <w:color w:val="000000"/>
            </w:rPr>
          </w:pPr>
          <w:hyperlink w:anchor="_heading=h.41mghml">
            <w:r w:rsidDel="00000000" w:rsidR="00000000" w:rsidRPr="00000000">
              <w:rPr>
                <w:color w:val="000000"/>
                <w:rtl w:val="0"/>
              </w:rPr>
              <w:t xml:space="preserve">5.1.5.3. Wyszukiwanie i filtrowanie danych według tagów</w:t>
              <w:tab/>
              <w:t xml:space="preserve">29</w:t>
            </w:r>
          </w:hyperlink>
          <w:r w:rsidDel="00000000" w:rsidR="00000000" w:rsidRPr="00000000">
            <w:rPr>
              <w:rtl w:val="0"/>
            </w:rPr>
          </w:r>
        </w:p>
        <w:p w:rsidR="00000000" w:rsidDel="00000000" w:rsidP="00000000" w:rsidRDefault="00000000" w:rsidRPr="00000000" w14:paraId="00000039">
          <w:pPr>
            <w:widowControl w:val="0"/>
            <w:tabs>
              <w:tab w:val="right" w:leader="none" w:pos="12000"/>
            </w:tabs>
            <w:spacing w:before="60" w:line="240" w:lineRule="auto"/>
            <w:ind w:left="1080" w:firstLine="0"/>
            <w:rPr>
              <w:color w:val="000000"/>
            </w:rPr>
          </w:pPr>
          <w:hyperlink w:anchor="_heading=h.2grqrue">
            <w:r w:rsidDel="00000000" w:rsidR="00000000" w:rsidRPr="00000000">
              <w:rPr>
                <w:color w:val="000000"/>
                <w:rtl w:val="0"/>
              </w:rPr>
              <w:t xml:space="preserve">5.1.5.4. Integracja z interfejsem użytkownika</w:t>
              <w:tab/>
              <w:t xml:space="preserve">29</w:t>
            </w:r>
          </w:hyperlink>
          <w:r w:rsidDel="00000000" w:rsidR="00000000" w:rsidRPr="00000000">
            <w:rPr>
              <w:rtl w:val="0"/>
            </w:rPr>
          </w:r>
        </w:p>
        <w:p w:rsidR="00000000" w:rsidDel="00000000" w:rsidP="00000000" w:rsidRDefault="00000000" w:rsidRPr="00000000" w14:paraId="0000003A">
          <w:pPr>
            <w:widowControl w:val="0"/>
            <w:tabs>
              <w:tab w:val="right" w:leader="none" w:pos="12000"/>
            </w:tabs>
            <w:spacing w:before="60" w:line="240" w:lineRule="auto"/>
            <w:ind w:left="720" w:firstLine="0"/>
            <w:rPr>
              <w:color w:val="000000"/>
            </w:rPr>
          </w:pPr>
          <w:hyperlink w:anchor="_heading=h.vx1227">
            <w:r w:rsidDel="00000000" w:rsidR="00000000" w:rsidRPr="00000000">
              <w:rPr>
                <w:color w:val="000000"/>
                <w:rtl w:val="0"/>
              </w:rPr>
              <w:t xml:space="preserve">5.1.6. Historia przetwarzania danych</w:t>
              <w:tab/>
              <w:t xml:space="preserve">29</w:t>
            </w:r>
          </w:hyperlink>
          <w:r w:rsidDel="00000000" w:rsidR="00000000" w:rsidRPr="00000000">
            <w:rPr>
              <w:rtl w:val="0"/>
            </w:rPr>
          </w:r>
        </w:p>
        <w:p w:rsidR="00000000" w:rsidDel="00000000" w:rsidP="00000000" w:rsidRDefault="00000000" w:rsidRPr="00000000" w14:paraId="0000003B">
          <w:pPr>
            <w:widowControl w:val="0"/>
            <w:tabs>
              <w:tab w:val="right" w:leader="none" w:pos="12000"/>
            </w:tabs>
            <w:spacing w:before="60" w:line="240" w:lineRule="auto"/>
            <w:ind w:left="1080" w:firstLine="0"/>
            <w:rPr>
              <w:color w:val="000000"/>
            </w:rPr>
          </w:pPr>
          <w:hyperlink w:anchor="_heading=h.3fwokq0">
            <w:r w:rsidDel="00000000" w:rsidR="00000000" w:rsidRPr="00000000">
              <w:rPr>
                <w:color w:val="000000"/>
                <w:rtl w:val="0"/>
              </w:rPr>
              <w:t xml:space="preserve">5.1.6.1. Logowanie operacji na danych</w:t>
              <w:tab/>
              <w:t xml:space="preserve">29</w:t>
            </w:r>
          </w:hyperlink>
          <w:r w:rsidDel="00000000" w:rsidR="00000000" w:rsidRPr="00000000">
            <w:rPr>
              <w:rtl w:val="0"/>
            </w:rPr>
          </w:r>
        </w:p>
        <w:p w:rsidR="00000000" w:rsidDel="00000000" w:rsidP="00000000" w:rsidRDefault="00000000" w:rsidRPr="00000000" w14:paraId="0000003C">
          <w:pPr>
            <w:widowControl w:val="0"/>
            <w:tabs>
              <w:tab w:val="right" w:leader="none" w:pos="12000"/>
            </w:tabs>
            <w:spacing w:before="60" w:line="240" w:lineRule="auto"/>
            <w:ind w:left="1080" w:firstLine="0"/>
            <w:rPr>
              <w:color w:val="000000"/>
            </w:rPr>
          </w:pPr>
          <w:hyperlink w:anchor="_heading=h.1v1yuxt">
            <w:r w:rsidDel="00000000" w:rsidR="00000000" w:rsidRPr="00000000">
              <w:rPr>
                <w:color w:val="000000"/>
                <w:rtl w:val="0"/>
              </w:rPr>
              <w:t xml:space="preserve">5.1.6.2. Wersjonowanie danych</w:t>
              <w:tab/>
              <w:t xml:space="preserve">30</w:t>
            </w:r>
          </w:hyperlink>
          <w:r w:rsidDel="00000000" w:rsidR="00000000" w:rsidRPr="00000000">
            <w:rPr>
              <w:rtl w:val="0"/>
            </w:rPr>
          </w:r>
        </w:p>
        <w:p w:rsidR="00000000" w:rsidDel="00000000" w:rsidP="00000000" w:rsidRDefault="00000000" w:rsidRPr="00000000" w14:paraId="0000003D">
          <w:pPr>
            <w:widowControl w:val="0"/>
            <w:tabs>
              <w:tab w:val="right" w:leader="none" w:pos="12000"/>
            </w:tabs>
            <w:spacing w:before="60" w:line="240" w:lineRule="auto"/>
            <w:ind w:left="1080" w:firstLine="0"/>
            <w:rPr>
              <w:color w:val="000000"/>
            </w:rPr>
          </w:pPr>
          <w:hyperlink w:anchor="_heading=h.4f1mdlm">
            <w:r w:rsidDel="00000000" w:rsidR="00000000" w:rsidRPr="00000000">
              <w:rPr>
                <w:color w:val="000000"/>
                <w:rtl w:val="0"/>
              </w:rPr>
              <w:t xml:space="preserve">5.1.6.3. Audyt zmian</w:t>
              <w:tab/>
              <w:t xml:space="preserve">30</w:t>
            </w:r>
          </w:hyperlink>
          <w:r w:rsidDel="00000000" w:rsidR="00000000" w:rsidRPr="00000000">
            <w:rPr>
              <w:rtl w:val="0"/>
            </w:rPr>
          </w:r>
        </w:p>
        <w:p w:rsidR="00000000" w:rsidDel="00000000" w:rsidP="00000000" w:rsidRDefault="00000000" w:rsidRPr="00000000" w14:paraId="0000003E">
          <w:pPr>
            <w:widowControl w:val="0"/>
            <w:tabs>
              <w:tab w:val="right" w:leader="none" w:pos="12000"/>
            </w:tabs>
            <w:spacing w:before="60" w:line="240" w:lineRule="auto"/>
            <w:ind w:left="720" w:firstLine="0"/>
            <w:rPr>
              <w:color w:val="000000"/>
            </w:rPr>
          </w:pPr>
          <w:hyperlink w:anchor="_heading=h.2u6wntf">
            <w:r w:rsidDel="00000000" w:rsidR="00000000" w:rsidRPr="00000000">
              <w:rPr>
                <w:color w:val="000000"/>
                <w:rtl w:val="0"/>
              </w:rPr>
              <w:t xml:space="preserve">5.1.7. Generowanie raportów</w:t>
              <w:tab/>
              <w:t xml:space="preserve">30</w:t>
            </w:r>
          </w:hyperlink>
          <w:r w:rsidDel="00000000" w:rsidR="00000000" w:rsidRPr="00000000">
            <w:rPr>
              <w:rtl w:val="0"/>
            </w:rPr>
          </w:r>
        </w:p>
        <w:p w:rsidR="00000000" w:rsidDel="00000000" w:rsidP="00000000" w:rsidRDefault="00000000" w:rsidRPr="00000000" w14:paraId="0000003F">
          <w:pPr>
            <w:widowControl w:val="0"/>
            <w:tabs>
              <w:tab w:val="right" w:leader="none" w:pos="12000"/>
            </w:tabs>
            <w:spacing w:before="60" w:line="240" w:lineRule="auto"/>
            <w:ind w:left="1080" w:firstLine="0"/>
            <w:rPr>
              <w:color w:val="000000"/>
            </w:rPr>
          </w:pPr>
          <w:hyperlink w:anchor="_heading=h.19c6y18">
            <w:r w:rsidDel="00000000" w:rsidR="00000000" w:rsidRPr="00000000">
              <w:rPr>
                <w:color w:val="000000"/>
                <w:rtl w:val="0"/>
              </w:rPr>
              <w:t xml:space="preserve">5.1.7.1. Tworzenie interaktywnych raportów</w:t>
              <w:tab/>
              <w:t xml:space="preserve">30</w:t>
            </w:r>
          </w:hyperlink>
          <w:r w:rsidDel="00000000" w:rsidR="00000000" w:rsidRPr="00000000">
            <w:rPr>
              <w:rtl w:val="0"/>
            </w:rPr>
          </w:r>
        </w:p>
        <w:p w:rsidR="00000000" w:rsidDel="00000000" w:rsidP="00000000" w:rsidRDefault="00000000" w:rsidRPr="00000000" w14:paraId="00000040">
          <w:pPr>
            <w:widowControl w:val="0"/>
            <w:tabs>
              <w:tab w:val="right" w:leader="none" w:pos="12000"/>
            </w:tabs>
            <w:spacing w:before="60" w:line="240" w:lineRule="auto"/>
            <w:ind w:left="1080" w:firstLine="0"/>
            <w:rPr>
              <w:color w:val="000000"/>
            </w:rPr>
          </w:pPr>
          <w:hyperlink w:anchor="_heading=h.28h4qwu">
            <w:r w:rsidDel="00000000" w:rsidR="00000000" w:rsidRPr="00000000">
              <w:rPr>
                <w:color w:val="000000"/>
                <w:rtl w:val="0"/>
              </w:rPr>
              <w:t xml:space="preserve">5.1.7.2. Operacje na danych w raportach</w:t>
              <w:tab/>
              <w:t xml:space="preserve">32</w:t>
            </w:r>
          </w:hyperlink>
          <w:r w:rsidDel="00000000" w:rsidR="00000000" w:rsidRPr="00000000">
            <w:rPr>
              <w:rtl w:val="0"/>
            </w:rPr>
          </w:r>
        </w:p>
        <w:p w:rsidR="00000000" w:rsidDel="00000000" w:rsidP="00000000" w:rsidRDefault="00000000" w:rsidRPr="00000000" w14:paraId="00000041">
          <w:pPr>
            <w:widowControl w:val="0"/>
            <w:tabs>
              <w:tab w:val="right" w:leader="none" w:pos="12000"/>
            </w:tabs>
            <w:spacing w:before="60" w:line="240" w:lineRule="auto"/>
            <w:ind w:left="1080" w:firstLine="0"/>
            <w:rPr>
              <w:color w:val="000000"/>
            </w:rPr>
          </w:pPr>
          <w:hyperlink w:anchor="_heading=h.nmf14n">
            <w:r w:rsidDel="00000000" w:rsidR="00000000" w:rsidRPr="00000000">
              <w:rPr>
                <w:color w:val="000000"/>
                <w:rtl w:val="0"/>
              </w:rPr>
              <w:t xml:space="preserve">5.1.7.3. Wizualizacja danych w raportach</w:t>
              <w:tab/>
              <w:t xml:space="preserve">32</w:t>
            </w:r>
          </w:hyperlink>
          <w:r w:rsidDel="00000000" w:rsidR="00000000" w:rsidRPr="00000000">
            <w:rPr>
              <w:rtl w:val="0"/>
            </w:rPr>
          </w:r>
        </w:p>
        <w:p w:rsidR="00000000" w:rsidDel="00000000" w:rsidP="00000000" w:rsidRDefault="00000000" w:rsidRPr="00000000" w14:paraId="00000042">
          <w:pPr>
            <w:widowControl w:val="0"/>
            <w:tabs>
              <w:tab w:val="right" w:leader="none" w:pos="12000"/>
            </w:tabs>
            <w:spacing w:before="60" w:line="240" w:lineRule="auto"/>
            <w:ind w:left="1080" w:firstLine="0"/>
            <w:rPr>
              <w:color w:val="000000"/>
            </w:rPr>
          </w:pPr>
          <w:hyperlink w:anchor="_heading=h.37m2jsg">
            <w:r w:rsidDel="00000000" w:rsidR="00000000" w:rsidRPr="00000000">
              <w:rPr>
                <w:color w:val="000000"/>
                <w:rtl w:val="0"/>
              </w:rPr>
              <w:t xml:space="preserve">5.1.7.4. Automatyczne generowanie i harmonogramowanie raportów</w:t>
              <w:tab/>
              <w:t xml:space="preserve">32</w:t>
            </w:r>
          </w:hyperlink>
          <w:r w:rsidDel="00000000" w:rsidR="00000000" w:rsidRPr="00000000">
            <w:rPr>
              <w:rtl w:val="0"/>
            </w:rPr>
          </w:r>
        </w:p>
        <w:p w:rsidR="00000000" w:rsidDel="00000000" w:rsidP="00000000" w:rsidRDefault="00000000" w:rsidRPr="00000000" w14:paraId="00000043">
          <w:pPr>
            <w:widowControl w:val="0"/>
            <w:tabs>
              <w:tab w:val="right" w:leader="none" w:pos="12000"/>
            </w:tabs>
            <w:spacing w:before="60" w:line="240" w:lineRule="auto"/>
            <w:ind w:left="1080" w:firstLine="0"/>
            <w:rPr>
              <w:color w:val="000000"/>
            </w:rPr>
          </w:pPr>
          <w:hyperlink w:anchor="_heading=h.1mrcu09">
            <w:r w:rsidDel="00000000" w:rsidR="00000000" w:rsidRPr="00000000">
              <w:rPr>
                <w:color w:val="000000"/>
                <w:rtl w:val="0"/>
              </w:rPr>
              <w:t xml:space="preserve">5.1.7.5. Eksport raportów</w:t>
              <w:tab/>
              <w:t xml:space="preserve">32</w:t>
            </w:r>
          </w:hyperlink>
          <w:r w:rsidDel="00000000" w:rsidR="00000000" w:rsidRPr="00000000">
            <w:rPr>
              <w:rtl w:val="0"/>
            </w:rPr>
          </w:r>
        </w:p>
        <w:p w:rsidR="00000000" w:rsidDel="00000000" w:rsidP="00000000" w:rsidRDefault="00000000" w:rsidRPr="00000000" w14:paraId="00000044">
          <w:pPr>
            <w:widowControl w:val="0"/>
            <w:tabs>
              <w:tab w:val="right" w:leader="none" w:pos="12000"/>
            </w:tabs>
            <w:spacing w:before="60" w:line="240" w:lineRule="auto"/>
            <w:ind w:left="720" w:firstLine="0"/>
            <w:rPr>
              <w:color w:val="000000"/>
            </w:rPr>
          </w:pPr>
          <w:hyperlink w:anchor="_heading=h.46r0co2">
            <w:r w:rsidDel="00000000" w:rsidR="00000000" w:rsidRPr="00000000">
              <w:rPr>
                <w:color w:val="000000"/>
                <w:rtl w:val="0"/>
              </w:rPr>
              <w:t xml:space="preserve">5.1.8. Interfejs użytkownika</w:t>
              <w:tab/>
              <w:t xml:space="preserve">33</w:t>
            </w:r>
          </w:hyperlink>
          <w:r w:rsidDel="00000000" w:rsidR="00000000" w:rsidRPr="00000000">
            <w:rPr>
              <w:rtl w:val="0"/>
            </w:rPr>
          </w:r>
        </w:p>
        <w:p w:rsidR="00000000" w:rsidDel="00000000" w:rsidP="00000000" w:rsidRDefault="00000000" w:rsidRPr="00000000" w14:paraId="00000045">
          <w:pPr>
            <w:widowControl w:val="0"/>
            <w:tabs>
              <w:tab w:val="right" w:leader="none" w:pos="12000"/>
            </w:tabs>
            <w:spacing w:before="60" w:line="240" w:lineRule="auto"/>
            <w:ind w:left="1080" w:firstLine="0"/>
            <w:rPr>
              <w:color w:val="000000"/>
            </w:rPr>
          </w:pPr>
          <w:hyperlink w:anchor="_heading=h.2lwamvv">
            <w:r w:rsidDel="00000000" w:rsidR="00000000" w:rsidRPr="00000000">
              <w:rPr>
                <w:color w:val="000000"/>
                <w:rtl w:val="0"/>
              </w:rPr>
              <w:t xml:space="preserve">5.1.8.1. Projektowanie interfejsu</w:t>
              <w:tab/>
              <w:t xml:space="preserve">33</w:t>
            </w:r>
          </w:hyperlink>
          <w:r w:rsidDel="00000000" w:rsidR="00000000" w:rsidRPr="00000000">
            <w:rPr>
              <w:rtl w:val="0"/>
            </w:rPr>
          </w:r>
        </w:p>
        <w:p w:rsidR="00000000" w:rsidDel="00000000" w:rsidP="00000000" w:rsidRDefault="00000000" w:rsidRPr="00000000" w14:paraId="00000046">
          <w:pPr>
            <w:widowControl w:val="0"/>
            <w:tabs>
              <w:tab w:val="right" w:leader="none" w:pos="12000"/>
            </w:tabs>
            <w:spacing w:before="60" w:line="240" w:lineRule="auto"/>
            <w:ind w:left="1080" w:firstLine="0"/>
            <w:rPr>
              <w:color w:val="000000"/>
            </w:rPr>
          </w:pPr>
          <w:hyperlink w:anchor="_heading=h.111kx3o">
            <w:r w:rsidDel="00000000" w:rsidR="00000000" w:rsidRPr="00000000">
              <w:rPr>
                <w:color w:val="000000"/>
                <w:rtl w:val="0"/>
              </w:rPr>
              <w:t xml:space="preserve">5.1.8.2. Przeglądanie danych</w:t>
              <w:tab/>
              <w:t xml:space="preserve">33</w:t>
            </w:r>
          </w:hyperlink>
          <w:r w:rsidDel="00000000" w:rsidR="00000000" w:rsidRPr="00000000">
            <w:rPr>
              <w:rtl w:val="0"/>
            </w:rPr>
          </w:r>
        </w:p>
        <w:p w:rsidR="00000000" w:rsidDel="00000000" w:rsidP="00000000" w:rsidRDefault="00000000" w:rsidRPr="00000000" w14:paraId="00000047">
          <w:pPr>
            <w:widowControl w:val="0"/>
            <w:tabs>
              <w:tab w:val="right" w:leader="none" w:pos="12000"/>
            </w:tabs>
            <w:spacing w:before="60" w:line="240" w:lineRule="auto"/>
            <w:ind w:left="1080" w:firstLine="0"/>
            <w:rPr>
              <w:color w:val="000000"/>
            </w:rPr>
          </w:pPr>
          <w:hyperlink w:anchor="_heading=h.3l18frh">
            <w:r w:rsidDel="00000000" w:rsidR="00000000" w:rsidRPr="00000000">
              <w:rPr>
                <w:color w:val="000000"/>
                <w:rtl w:val="0"/>
              </w:rPr>
              <w:t xml:space="preserve">5.1.8.3. Edycja i dodawanie danych</w:t>
              <w:tab/>
              <w:t xml:space="preserve">33</w:t>
            </w:r>
          </w:hyperlink>
          <w:r w:rsidDel="00000000" w:rsidR="00000000" w:rsidRPr="00000000">
            <w:rPr>
              <w:rtl w:val="0"/>
            </w:rPr>
          </w:r>
        </w:p>
        <w:p w:rsidR="00000000" w:rsidDel="00000000" w:rsidP="00000000" w:rsidRDefault="00000000" w:rsidRPr="00000000" w14:paraId="00000048">
          <w:pPr>
            <w:widowControl w:val="0"/>
            <w:tabs>
              <w:tab w:val="right" w:leader="none" w:pos="12000"/>
            </w:tabs>
            <w:spacing w:before="60" w:line="240" w:lineRule="auto"/>
            <w:ind w:left="1080" w:firstLine="0"/>
            <w:rPr>
              <w:color w:val="000000"/>
            </w:rPr>
          </w:pPr>
          <w:hyperlink w:anchor="_heading=h.206ipza">
            <w:r w:rsidDel="00000000" w:rsidR="00000000" w:rsidRPr="00000000">
              <w:rPr>
                <w:color w:val="000000"/>
                <w:rtl w:val="0"/>
              </w:rPr>
              <w:t xml:space="preserve">5.1.8.4. Przeglądanie historii zmian</w:t>
              <w:tab/>
              <w:t xml:space="preserve">34</w:t>
            </w:r>
          </w:hyperlink>
          <w:r w:rsidDel="00000000" w:rsidR="00000000" w:rsidRPr="00000000">
            <w:rPr>
              <w:rtl w:val="0"/>
            </w:rPr>
          </w:r>
        </w:p>
        <w:p w:rsidR="00000000" w:rsidDel="00000000" w:rsidP="00000000" w:rsidRDefault="00000000" w:rsidRPr="00000000" w14:paraId="00000049">
          <w:pPr>
            <w:widowControl w:val="0"/>
            <w:tabs>
              <w:tab w:val="right" w:leader="none" w:pos="12000"/>
            </w:tabs>
            <w:spacing w:before="60" w:line="240" w:lineRule="auto"/>
            <w:ind w:left="1080" w:firstLine="0"/>
            <w:rPr>
              <w:color w:val="000000"/>
            </w:rPr>
          </w:pPr>
          <w:hyperlink w:anchor="_heading=h.4k668n3">
            <w:r w:rsidDel="00000000" w:rsidR="00000000" w:rsidRPr="00000000">
              <w:rPr>
                <w:color w:val="000000"/>
                <w:rtl w:val="0"/>
              </w:rPr>
              <w:t xml:space="preserve">5.1.8.5. Interfejs administratora</w:t>
              <w:tab/>
              <w:t xml:space="preserve">34</w:t>
            </w:r>
          </w:hyperlink>
          <w:r w:rsidDel="00000000" w:rsidR="00000000" w:rsidRPr="00000000">
            <w:rPr>
              <w:rtl w:val="0"/>
            </w:rPr>
          </w:r>
        </w:p>
        <w:p w:rsidR="00000000" w:rsidDel="00000000" w:rsidP="00000000" w:rsidRDefault="00000000" w:rsidRPr="00000000" w14:paraId="0000004A">
          <w:pPr>
            <w:widowControl w:val="0"/>
            <w:tabs>
              <w:tab w:val="right" w:leader="none" w:pos="12000"/>
            </w:tabs>
            <w:spacing w:before="60" w:line="240" w:lineRule="auto"/>
            <w:ind w:left="1080" w:firstLine="0"/>
            <w:rPr>
              <w:color w:val="000000"/>
            </w:rPr>
          </w:pPr>
          <w:hyperlink w:anchor="_heading=h.2zbgiuw">
            <w:r w:rsidDel="00000000" w:rsidR="00000000" w:rsidRPr="00000000">
              <w:rPr>
                <w:color w:val="000000"/>
                <w:rtl w:val="0"/>
              </w:rPr>
              <w:t xml:space="preserve">5.1.8.6. Nawigacja</w:t>
              <w:tab/>
              <w:t xml:space="preserve">35</w:t>
            </w:r>
          </w:hyperlink>
          <w:r w:rsidDel="00000000" w:rsidR="00000000" w:rsidRPr="00000000">
            <w:rPr>
              <w:rtl w:val="0"/>
            </w:rPr>
          </w:r>
        </w:p>
        <w:p w:rsidR="00000000" w:rsidDel="00000000" w:rsidP="00000000" w:rsidRDefault="00000000" w:rsidRPr="00000000" w14:paraId="0000004B">
          <w:pPr>
            <w:widowControl w:val="0"/>
            <w:tabs>
              <w:tab w:val="right" w:leader="none" w:pos="12000"/>
            </w:tabs>
            <w:spacing w:before="60" w:line="240" w:lineRule="auto"/>
            <w:ind w:left="1080" w:firstLine="0"/>
            <w:rPr>
              <w:color w:val="000000"/>
            </w:rPr>
          </w:pPr>
          <w:hyperlink w:anchor="_heading=h.1egqt2p">
            <w:r w:rsidDel="00000000" w:rsidR="00000000" w:rsidRPr="00000000">
              <w:rPr>
                <w:color w:val="000000"/>
                <w:rtl w:val="0"/>
              </w:rPr>
              <w:t xml:space="preserve">5.1.8.7. Personalizacja</w:t>
              <w:tab/>
              <w:t xml:space="preserve">35</w:t>
            </w:r>
          </w:hyperlink>
          <w:r w:rsidDel="00000000" w:rsidR="00000000" w:rsidRPr="00000000">
            <w:rPr>
              <w:rtl w:val="0"/>
            </w:rPr>
          </w:r>
        </w:p>
        <w:p w:rsidR="00000000" w:rsidDel="00000000" w:rsidP="00000000" w:rsidRDefault="00000000" w:rsidRPr="00000000" w14:paraId="0000004C">
          <w:pPr>
            <w:widowControl w:val="0"/>
            <w:tabs>
              <w:tab w:val="right" w:leader="none" w:pos="12000"/>
            </w:tabs>
            <w:spacing w:before="60" w:line="240" w:lineRule="auto"/>
            <w:ind w:left="720" w:firstLine="0"/>
            <w:rPr>
              <w:color w:val="000000"/>
            </w:rPr>
          </w:pPr>
          <w:hyperlink w:anchor="_heading=h.3ygebqi">
            <w:r w:rsidDel="00000000" w:rsidR="00000000" w:rsidRPr="00000000">
              <w:rPr>
                <w:color w:val="000000"/>
                <w:rtl w:val="0"/>
              </w:rPr>
              <w:t xml:space="preserve">5.1.9. Dodatkowe funkcjonalności (opcjonalne)</w:t>
              <w:tab/>
              <w:t xml:space="preserve">35</w:t>
            </w:r>
          </w:hyperlink>
          <w:r w:rsidDel="00000000" w:rsidR="00000000" w:rsidRPr="00000000">
            <w:rPr>
              <w:rtl w:val="0"/>
            </w:rPr>
          </w:r>
        </w:p>
        <w:p w:rsidR="00000000" w:rsidDel="00000000" w:rsidP="00000000" w:rsidRDefault="00000000" w:rsidRPr="00000000" w14:paraId="0000004D">
          <w:pPr>
            <w:widowControl w:val="0"/>
            <w:tabs>
              <w:tab w:val="right" w:leader="none" w:pos="12000"/>
            </w:tabs>
            <w:spacing w:before="60" w:line="240" w:lineRule="auto"/>
            <w:ind w:left="1080" w:firstLine="0"/>
            <w:rPr>
              <w:color w:val="000000"/>
            </w:rPr>
          </w:pPr>
          <w:hyperlink w:anchor="_heading=h.2dlolyb">
            <w:r w:rsidDel="00000000" w:rsidR="00000000" w:rsidRPr="00000000">
              <w:rPr>
                <w:color w:val="000000"/>
                <w:rtl w:val="0"/>
              </w:rPr>
              <w:t xml:space="preserve">5.1.9.1. Dashboardy i widżety</w:t>
              <w:tab/>
              <w:t xml:space="preserve">35</w:t>
            </w:r>
          </w:hyperlink>
          <w:r w:rsidDel="00000000" w:rsidR="00000000" w:rsidRPr="00000000">
            <w:rPr>
              <w:rtl w:val="0"/>
            </w:rPr>
          </w:r>
        </w:p>
        <w:p w:rsidR="00000000" w:rsidDel="00000000" w:rsidP="00000000" w:rsidRDefault="00000000" w:rsidRPr="00000000" w14:paraId="0000004E">
          <w:pPr>
            <w:widowControl w:val="0"/>
            <w:tabs>
              <w:tab w:val="right" w:leader="none" w:pos="12000"/>
            </w:tabs>
            <w:spacing w:before="60" w:line="240" w:lineRule="auto"/>
            <w:ind w:left="1080" w:firstLine="0"/>
            <w:rPr>
              <w:color w:val="000000"/>
            </w:rPr>
          </w:pPr>
          <w:hyperlink w:anchor="_heading=h.sqyw64">
            <w:r w:rsidDel="00000000" w:rsidR="00000000" w:rsidRPr="00000000">
              <w:rPr>
                <w:color w:val="000000"/>
                <w:rtl w:val="0"/>
              </w:rPr>
              <w:t xml:space="preserve">5.1.9.2. Konfigurowalne alerty</w:t>
              <w:tab/>
              <w:t xml:space="preserve">36</w:t>
            </w:r>
          </w:hyperlink>
          <w:r w:rsidDel="00000000" w:rsidR="00000000" w:rsidRPr="00000000">
            <w:rPr>
              <w:rtl w:val="0"/>
            </w:rPr>
          </w:r>
        </w:p>
        <w:p w:rsidR="00000000" w:rsidDel="00000000" w:rsidP="00000000" w:rsidRDefault="00000000" w:rsidRPr="00000000" w14:paraId="0000004F">
          <w:pPr>
            <w:widowControl w:val="0"/>
            <w:tabs>
              <w:tab w:val="right" w:leader="none" w:pos="12000"/>
            </w:tabs>
            <w:spacing w:before="60" w:line="240" w:lineRule="auto"/>
            <w:ind w:left="1080" w:firstLine="0"/>
            <w:rPr>
              <w:color w:val="000000"/>
            </w:rPr>
          </w:pPr>
          <w:hyperlink w:anchor="_heading=h.3cqmetx">
            <w:r w:rsidDel="00000000" w:rsidR="00000000" w:rsidRPr="00000000">
              <w:rPr>
                <w:color w:val="000000"/>
                <w:rtl w:val="0"/>
              </w:rPr>
              <w:t xml:space="preserve">5.1.9.3. Integracja z narzędziami zewnętrznymi</w:t>
              <w:tab/>
              <w:t xml:space="preserve">36</w:t>
            </w:r>
          </w:hyperlink>
          <w:r w:rsidDel="00000000" w:rsidR="00000000" w:rsidRPr="00000000">
            <w:rPr>
              <w:rtl w:val="0"/>
            </w:rPr>
          </w:r>
        </w:p>
        <w:p w:rsidR="00000000" w:rsidDel="00000000" w:rsidP="00000000" w:rsidRDefault="00000000" w:rsidRPr="00000000" w14:paraId="00000050">
          <w:pPr>
            <w:widowControl w:val="0"/>
            <w:tabs>
              <w:tab w:val="right" w:leader="none" w:pos="12000"/>
            </w:tabs>
            <w:spacing w:before="60" w:line="240" w:lineRule="auto"/>
            <w:ind w:left="360" w:firstLine="0"/>
            <w:rPr>
              <w:color w:val="000000"/>
            </w:rPr>
          </w:pPr>
          <w:hyperlink w:anchor="_heading=h.1rvwp1q">
            <w:r w:rsidDel="00000000" w:rsidR="00000000" w:rsidRPr="00000000">
              <w:rPr>
                <w:color w:val="000000"/>
                <w:rtl w:val="0"/>
              </w:rPr>
              <w:t xml:space="preserve">5.2. Wymagania techniczne</w:t>
              <w:tab/>
              <w:t xml:space="preserve">36</w:t>
            </w:r>
          </w:hyperlink>
          <w:r w:rsidDel="00000000" w:rsidR="00000000" w:rsidRPr="00000000">
            <w:rPr>
              <w:rtl w:val="0"/>
            </w:rPr>
          </w:r>
        </w:p>
        <w:p w:rsidR="00000000" w:rsidDel="00000000" w:rsidP="00000000" w:rsidRDefault="00000000" w:rsidRPr="00000000" w14:paraId="00000051">
          <w:pPr>
            <w:widowControl w:val="0"/>
            <w:tabs>
              <w:tab w:val="right" w:leader="none" w:pos="12000"/>
            </w:tabs>
            <w:spacing w:before="60" w:line="240" w:lineRule="auto"/>
            <w:ind w:left="360" w:firstLine="0"/>
            <w:rPr>
              <w:color w:val="000000"/>
            </w:rPr>
          </w:pPr>
          <w:hyperlink w:anchor="_heading=h.4bvk7pj">
            <w:r w:rsidDel="00000000" w:rsidR="00000000" w:rsidRPr="00000000">
              <w:rPr>
                <w:color w:val="000000"/>
                <w:rtl w:val="0"/>
              </w:rPr>
              <w:t xml:space="preserve">5.3. Bezpieczeństwo</w:t>
              <w:tab/>
              <w:t xml:space="preserve">37</w:t>
            </w:r>
          </w:hyperlink>
          <w:r w:rsidDel="00000000" w:rsidR="00000000" w:rsidRPr="00000000">
            <w:rPr>
              <w:rtl w:val="0"/>
            </w:rPr>
          </w:r>
        </w:p>
        <w:p w:rsidR="00000000" w:rsidDel="00000000" w:rsidP="00000000" w:rsidRDefault="00000000" w:rsidRPr="00000000" w14:paraId="00000052">
          <w:pPr>
            <w:widowControl w:val="0"/>
            <w:tabs>
              <w:tab w:val="right" w:leader="none" w:pos="12000"/>
            </w:tabs>
            <w:spacing w:before="60" w:line="240" w:lineRule="auto"/>
            <w:ind w:left="360" w:firstLine="0"/>
            <w:rPr>
              <w:color w:val="000000"/>
            </w:rPr>
          </w:pPr>
          <w:hyperlink w:anchor="_heading=h.2r0uhxc">
            <w:r w:rsidDel="00000000" w:rsidR="00000000" w:rsidRPr="00000000">
              <w:rPr>
                <w:color w:val="000000"/>
                <w:rtl w:val="0"/>
              </w:rPr>
              <w:t xml:space="preserve">5.4. Użyteczność narzędzia</w:t>
              <w:tab/>
              <w:t xml:space="preserve">39</w:t>
            </w:r>
          </w:hyperlink>
          <w:r w:rsidDel="00000000" w:rsidR="00000000" w:rsidRPr="00000000">
            <w:rPr>
              <w:rtl w:val="0"/>
            </w:rPr>
          </w:r>
        </w:p>
        <w:p w:rsidR="00000000" w:rsidDel="00000000" w:rsidP="00000000" w:rsidRDefault="00000000" w:rsidRPr="00000000" w14:paraId="00000053">
          <w:pPr>
            <w:widowControl w:val="0"/>
            <w:tabs>
              <w:tab w:val="right" w:leader="none" w:pos="12000"/>
            </w:tabs>
            <w:spacing w:before="60" w:line="240" w:lineRule="auto"/>
            <w:ind w:left="360" w:firstLine="0"/>
            <w:rPr>
              <w:color w:val="000000"/>
            </w:rPr>
          </w:pPr>
          <w:hyperlink w:anchor="_heading=h.1664s55">
            <w:r w:rsidDel="00000000" w:rsidR="00000000" w:rsidRPr="00000000">
              <w:rPr>
                <w:color w:val="000000"/>
                <w:rtl w:val="0"/>
              </w:rPr>
              <w:t xml:space="preserve">5.5. Wymagania dotyczące ochrony danych osobowych</w:t>
              <w:tab/>
              <w:t xml:space="preserve">39</w:t>
            </w:r>
          </w:hyperlink>
          <w:r w:rsidDel="00000000" w:rsidR="00000000" w:rsidRPr="00000000">
            <w:rPr>
              <w:rtl w:val="0"/>
            </w:rPr>
          </w:r>
        </w:p>
        <w:p w:rsidR="00000000" w:rsidDel="00000000" w:rsidP="00000000" w:rsidRDefault="00000000" w:rsidRPr="00000000" w14:paraId="00000054">
          <w:pPr>
            <w:widowControl w:val="0"/>
            <w:tabs>
              <w:tab w:val="right" w:leader="none" w:pos="12000"/>
            </w:tabs>
            <w:spacing w:before="60" w:line="240" w:lineRule="auto"/>
            <w:ind w:left="360" w:firstLine="0"/>
            <w:rPr>
              <w:color w:val="000000"/>
            </w:rPr>
          </w:pPr>
          <w:hyperlink w:anchor="_heading=h.3q5sasy">
            <w:r w:rsidDel="00000000" w:rsidR="00000000" w:rsidRPr="00000000">
              <w:rPr>
                <w:color w:val="000000"/>
                <w:rtl w:val="0"/>
              </w:rPr>
              <w:t xml:space="preserve">5.6. Obsługa powdrożeniowa - utrzymanie narzędzia</w:t>
              <w:tab/>
              <w:t xml:space="preserve">40</w:t>
            </w:r>
          </w:hyperlink>
          <w:r w:rsidDel="00000000" w:rsidR="00000000" w:rsidRPr="00000000">
            <w:rPr>
              <w:rtl w:val="0"/>
            </w:rPr>
          </w:r>
        </w:p>
        <w:p w:rsidR="00000000" w:rsidDel="00000000" w:rsidP="00000000" w:rsidRDefault="00000000" w:rsidRPr="00000000" w14:paraId="00000055">
          <w:pPr>
            <w:widowControl w:val="0"/>
            <w:tabs>
              <w:tab w:val="right" w:leader="none" w:pos="12000"/>
            </w:tabs>
            <w:spacing w:before="60" w:line="240" w:lineRule="auto"/>
            <w:ind w:left="360" w:firstLine="0"/>
            <w:rPr>
              <w:color w:val="000000"/>
            </w:rPr>
          </w:pPr>
          <w:hyperlink w:anchor="_heading=h.25b2l0r">
            <w:r w:rsidDel="00000000" w:rsidR="00000000" w:rsidRPr="00000000">
              <w:rPr>
                <w:color w:val="000000"/>
                <w:rtl w:val="0"/>
              </w:rPr>
              <w:t xml:space="preserve">5.7. Rozwój narzędzia - asysta techniczna</w:t>
              <w:tab/>
              <w:t xml:space="preserve">41</w:t>
            </w:r>
          </w:hyperlink>
          <w:r w:rsidDel="00000000" w:rsidR="00000000" w:rsidRPr="00000000">
            <w:rPr>
              <w:rtl w:val="0"/>
            </w:rPr>
          </w:r>
        </w:p>
        <w:p w:rsidR="00000000" w:rsidDel="00000000" w:rsidP="00000000" w:rsidRDefault="00000000" w:rsidRPr="00000000" w14:paraId="00000056">
          <w:pPr>
            <w:widowControl w:val="0"/>
            <w:tabs>
              <w:tab w:val="right" w:leader="none" w:pos="12000"/>
            </w:tabs>
            <w:spacing w:before="60" w:line="240" w:lineRule="auto"/>
            <w:ind w:left="720" w:firstLine="0"/>
            <w:rPr>
              <w:color w:val="000000"/>
            </w:rPr>
          </w:pPr>
          <w:hyperlink w:anchor="_heading=h.kgcv8k">
            <w:r w:rsidDel="00000000" w:rsidR="00000000" w:rsidRPr="00000000">
              <w:rPr>
                <w:color w:val="000000"/>
                <w:rtl w:val="0"/>
              </w:rPr>
              <w:t xml:space="preserve">5.7.1. Tryb realizacji asysty technicznej</w:t>
              <w:tab/>
              <w:t xml:space="preserve">41</w:t>
            </w:r>
          </w:hyperlink>
          <w:r w:rsidDel="00000000" w:rsidR="00000000" w:rsidRPr="00000000">
            <w:rPr>
              <w:rtl w:val="0"/>
            </w:rPr>
          </w:r>
        </w:p>
        <w:p w:rsidR="00000000" w:rsidDel="00000000" w:rsidP="00000000" w:rsidRDefault="00000000" w:rsidRPr="00000000" w14:paraId="00000057">
          <w:pPr>
            <w:widowControl w:val="0"/>
            <w:tabs>
              <w:tab w:val="right" w:leader="none" w:pos="12000"/>
            </w:tabs>
            <w:spacing w:before="60" w:line="240" w:lineRule="auto"/>
            <w:rPr>
              <w:b w:val="1"/>
              <w:color w:val="000000"/>
            </w:rPr>
          </w:pPr>
          <w:hyperlink w:anchor="_heading=h.34g0dwd">
            <w:r w:rsidDel="00000000" w:rsidR="00000000" w:rsidRPr="00000000">
              <w:rPr>
                <w:b w:val="1"/>
                <w:color w:val="000000"/>
                <w:rtl w:val="0"/>
              </w:rPr>
              <w:t xml:space="preserve">6. Dokumentacja</w:t>
              <w:tab/>
              <w:t xml:space="preserve">42</w:t>
            </w:r>
          </w:hyperlink>
          <w:r w:rsidDel="00000000" w:rsidR="00000000" w:rsidRPr="00000000">
            <w:rPr>
              <w:rtl w:val="0"/>
            </w:rPr>
          </w:r>
        </w:p>
        <w:p w:rsidR="00000000" w:rsidDel="00000000" w:rsidP="00000000" w:rsidRDefault="00000000" w:rsidRPr="00000000" w14:paraId="00000058">
          <w:pPr>
            <w:widowControl w:val="0"/>
            <w:tabs>
              <w:tab w:val="right" w:leader="none" w:pos="12000"/>
            </w:tabs>
            <w:spacing w:before="60" w:line="240" w:lineRule="auto"/>
            <w:rPr>
              <w:b w:val="1"/>
              <w:color w:val="000000"/>
            </w:rPr>
          </w:pPr>
          <w:hyperlink w:anchor="_heading=h.1jlao46">
            <w:r w:rsidDel="00000000" w:rsidR="00000000" w:rsidRPr="00000000">
              <w:rPr>
                <w:b w:val="1"/>
                <w:color w:val="000000"/>
                <w:rtl w:val="0"/>
              </w:rPr>
              <w:t xml:space="preserve">7. Licencje</w:t>
              <w:tab/>
              <w:t xml:space="preserve">43</w:t>
            </w:r>
          </w:hyperlink>
          <w:r w:rsidDel="00000000" w:rsidR="00000000" w:rsidRPr="00000000">
            <w:rPr>
              <w:rtl w:val="0"/>
            </w:rPr>
          </w:r>
        </w:p>
        <w:p w:rsidR="00000000" w:rsidDel="00000000" w:rsidP="00000000" w:rsidRDefault="00000000" w:rsidRPr="00000000" w14:paraId="00000059">
          <w:pPr>
            <w:widowControl w:val="0"/>
            <w:tabs>
              <w:tab w:val="right" w:leader="none" w:pos="12000"/>
            </w:tabs>
            <w:spacing w:before="60" w:line="240" w:lineRule="auto"/>
            <w:rPr>
              <w:b w:val="1"/>
              <w:color w:val="000000"/>
            </w:rPr>
          </w:pPr>
          <w:hyperlink w:anchor="_heading=h.43ky6rz">
            <w:r w:rsidDel="00000000" w:rsidR="00000000" w:rsidRPr="00000000">
              <w:rPr>
                <w:b w:val="1"/>
                <w:color w:val="000000"/>
                <w:rtl w:val="0"/>
              </w:rPr>
              <w:t xml:space="preserve">8. Kod źródłowy narzędzia</w:t>
              <w:tab/>
              <w:t xml:space="preserve">43</w:t>
            </w:r>
          </w:hyperlink>
          <w:r w:rsidDel="00000000" w:rsidR="00000000" w:rsidRPr="00000000">
            <w:rPr>
              <w:rtl w:val="0"/>
            </w:rPr>
          </w:r>
        </w:p>
        <w:p w:rsidR="00000000" w:rsidDel="00000000" w:rsidP="00000000" w:rsidRDefault="00000000" w:rsidRPr="00000000" w14:paraId="0000005A">
          <w:pPr>
            <w:widowControl w:val="0"/>
            <w:tabs>
              <w:tab w:val="right" w:leader="none" w:pos="12000"/>
            </w:tabs>
            <w:spacing w:before="60" w:line="240" w:lineRule="auto"/>
            <w:rPr>
              <w:b w:val="1"/>
              <w:color w:val="000000"/>
            </w:rPr>
          </w:pPr>
          <w:hyperlink w:anchor="_heading=h.2iq8gzs">
            <w:r w:rsidDel="00000000" w:rsidR="00000000" w:rsidRPr="00000000">
              <w:rPr>
                <w:b w:val="1"/>
                <w:color w:val="000000"/>
                <w:rtl w:val="0"/>
              </w:rPr>
              <w:t xml:space="preserve">9. Sposób realizacji zamówienia</w:t>
              <w:tab/>
              <w:t xml:space="preserve">43</w:t>
            </w:r>
          </w:hyperlink>
          <w:r w:rsidDel="00000000" w:rsidR="00000000" w:rsidRPr="00000000">
            <w:rPr>
              <w:rtl w:val="0"/>
            </w:rPr>
          </w:r>
        </w:p>
        <w:p w:rsidR="00000000" w:rsidDel="00000000" w:rsidP="00000000" w:rsidRDefault="00000000" w:rsidRPr="00000000" w14:paraId="0000005B">
          <w:pPr>
            <w:widowControl w:val="0"/>
            <w:tabs>
              <w:tab w:val="right" w:leader="none" w:pos="12000"/>
            </w:tabs>
            <w:spacing w:before="60" w:line="240" w:lineRule="auto"/>
            <w:rPr>
              <w:b w:val="1"/>
              <w:color w:val="000000"/>
            </w:rPr>
          </w:pPr>
          <w:hyperlink w:anchor="_heading=h.xvir7l">
            <w:r w:rsidDel="00000000" w:rsidR="00000000" w:rsidRPr="00000000">
              <w:rPr>
                <w:b w:val="1"/>
                <w:color w:val="000000"/>
                <w:rtl w:val="0"/>
              </w:rPr>
              <w:t xml:space="preserve">10. Roboczy harmonogram realizacji zamówienia</w:t>
              <w:tab/>
              <w:t xml:space="preserve">45</w:t>
            </w:r>
          </w:hyperlink>
          <w:r w:rsidDel="00000000" w:rsidR="00000000" w:rsidRPr="00000000">
            <w:rPr>
              <w:rtl w:val="0"/>
            </w:rPr>
          </w:r>
        </w:p>
        <w:p w:rsidR="00000000" w:rsidDel="00000000" w:rsidP="00000000" w:rsidRDefault="00000000" w:rsidRPr="00000000" w14:paraId="0000005C">
          <w:pPr>
            <w:widowControl w:val="0"/>
            <w:tabs>
              <w:tab w:val="right" w:leader="none" w:pos="12000"/>
            </w:tabs>
            <w:spacing w:before="60" w:line="240" w:lineRule="auto"/>
            <w:rPr>
              <w:b w:val="1"/>
              <w:color w:val="000000"/>
            </w:rPr>
          </w:pPr>
          <w:hyperlink w:anchor="_heading=h.3hv69ve">
            <w:r w:rsidDel="00000000" w:rsidR="00000000" w:rsidRPr="00000000">
              <w:rPr>
                <w:b w:val="1"/>
                <w:color w:val="000000"/>
                <w:rtl w:val="0"/>
              </w:rPr>
              <w:t xml:space="preserve">11. Płatności</w:t>
              <w:tab/>
              <w:t xml:space="preserve">46</w:t>
            </w:r>
          </w:hyperlink>
          <w:r w:rsidDel="00000000" w:rsidR="00000000" w:rsidRPr="00000000">
            <w:rPr>
              <w:rtl w:val="0"/>
            </w:rPr>
          </w:r>
        </w:p>
        <w:p w:rsidR="00000000" w:rsidDel="00000000" w:rsidP="00000000" w:rsidRDefault="00000000" w:rsidRPr="00000000" w14:paraId="0000005D">
          <w:pPr>
            <w:widowControl w:val="0"/>
            <w:tabs>
              <w:tab w:val="right" w:leader="none" w:pos="12000"/>
            </w:tabs>
            <w:spacing w:before="60" w:line="240" w:lineRule="auto"/>
            <w:rPr>
              <w:b w:val="1"/>
              <w:color w:val="000000"/>
            </w:rPr>
          </w:pPr>
          <w:r w:rsidDel="00000000" w:rsidR="00000000" w:rsidRPr="00000000">
            <w:rPr>
              <w:b w:val="1"/>
              <w:color w:val="000000"/>
              <w:rtl w:val="0"/>
            </w:rPr>
            <w:t xml:space="preserve">Załącznik 1. Dodatkowe uszczegółowienie niektórych wymagań</w:t>
            <w:tab/>
            <w:t xml:space="preserve">47</w:t>
          </w:r>
          <w:r w:rsidDel="00000000" w:rsidR="00000000" w:rsidRPr="00000000">
            <w:fldChar w:fldCharType="end"/>
          </w:r>
        </w:p>
      </w:sdtContent>
    </w:sdt>
    <w:p w:rsidR="00000000" w:rsidDel="00000000" w:rsidP="00000000" w:rsidRDefault="00000000" w:rsidRPr="00000000" w14:paraId="0000005E">
      <w:pPr>
        <w:pStyle w:val="Heading1"/>
        <w:ind w:firstLine="566"/>
        <w:rPr/>
      </w:pPr>
      <w:r w:rsidDel="00000000" w:rsidR="00000000" w:rsidRPr="00000000">
        <w:br w:type="page"/>
      </w:r>
      <w:r w:rsidDel="00000000" w:rsidR="00000000" w:rsidRPr="00000000">
        <w:rPr>
          <w:rtl w:val="0"/>
        </w:rPr>
      </w:r>
    </w:p>
    <w:p w:rsidR="00000000" w:rsidDel="00000000" w:rsidP="00000000" w:rsidRDefault="00000000" w:rsidRPr="00000000" w14:paraId="0000005F">
      <w:pPr>
        <w:pStyle w:val="Heading1"/>
        <w:numPr>
          <w:ilvl w:val="0"/>
          <w:numId w:val="22"/>
        </w:numPr>
        <w:ind w:left="566" w:hanging="283"/>
        <w:rPr/>
      </w:pPr>
      <w:r w:rsidDel="00000000" w:rsidR="00000000" w:rsidRPr="00000000">
        <w:rPr>
          <w:rtl w:val="0"/>
        </w:rPr>
        <w:t xml:space="preserve">Zamawiający</w:t>
      </w:r>
    </w:p>
    <w:p w:rsidR="00000000" w:rsidDel="00000000" w:rsidP="00000000" w:rsidRDefault="00000000" w:rsidRPr="00000000" w14:paraId="00000060">
      <w:pPr>
        <w:spacing w:after="120" w:lineRule="auto"/>
        <w:ind w:left="36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Instytut Badań Edukacyjnych</w:t>
      </w:r>
    </w:p>
    <w:p w:rsidR="00000000" w:rsidDel="00000000" w:rsidP="00000000" w:rsidRDefault="00000000" w:rsidRPr="00000000" w14:paraId="00000061">
      <w:pPr>
        <w:spacing w:after="120" w:lineRule="auto"/>
        <w:ind w:left="36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ul. Górczewska 8 </w:t>
      </w:r>
    </w:p>
    <w:p w:rsidR="00000000" w:rsidDel="00000000" w:rsidP="00000000" w:rsidRDefault="00000000" w:rsidRPr="00000000" w14:paraId="00000062">
      <w:pPr>
        <w:spacing w:after="120" w:lineRule="auto"/>
        <w:ind w:left="36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01-180 Warszawa</w:t>
      </w:r>
    </w:p>
    <w:p w:rsidR="00000000" w:rsidDel="00000000" w:rsidP="00000000" w:rsidRDefault="00000000" w:rsidRPr="00000000" w14:paraId="00000063">
      <w:pPr>
        <w:pStyle w:val="Heading1"/>
        <w:numPr>
          <w:ilvl w:val="0"/>
          <w:numId w:val="22"/>
        </w:numPr>
        <w:ind w:left="566" w:hanging="283"/>
        <w:rPr/>
      </w:pPr>
      <w:r w:rsidDel="00000000" w:rsidR="00000000" w:rsidRPr="00000000">
        <w:rPr>
          <w:rtl w:val="0"/>
        </w:rPr>
        <w:t xml:space="preserve">Informacje o projekcie</w:t>
      </w:r>
    </w:p>
    <w:p w:rsidR="00000000" w:rsidDel="00000000" w:rsidP="00000000" w:rsidRDefault="00000000" w:rsidRPr="00000000" w14:paraId="00000064">
      <w:pPr>
        <w:spacing w:after="12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Instytut Badań Edukacyjnych w Warszawie (dalej również „IBE”) jest placówką badawczą prowadzącą interdyscyplinarne badania naukowe nad funkcjonowaniem i efektywnością systemu edukacji w Polsce. Jednym z projektów systemowych realizowanych przez IBE na zlecenie Ministerstwa Edukacji Narodowej współfinansowanych ze środków Unii Europejskiej jest projekt pod nazwą “Wspieranie dalszego rozwoju Zintegrowanego Systemu Kwalifikacji w Polsce” (ZSK 6).</w:t>
      </w:r>
    </w:p>
    <w:p w:rsidR="00000000" w:rsidDel="00000000" w:rsidP="00000000" w:rsidRDefault="00000000" w:rsidRPr="00000000" w14:paraId="00000065">
      <w:pPr>
        <w:spacing w:after="12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Głównym celem projektu jest zwiększenie efektywności funkcjonowania Zintegrowanego Systemu Kwalifikacji (dalej również „ZSK”) i doskonalenie go jako jednego z narzędzi polityki państwa na rzecz uczenia się przez całe życie na poziomie krajowym, regionalnym i lokalnym. Jako kontynuacja wcześniejszych projektów dotyczących wdrażania i rozwoju ZSK w Polsce, projekt ten jest ukierunkowany nie tylko na zwiększenie w najbliższych latach liczby kwalifikacji spoza edukacji formalnej włączonych do ZSK, ale także usprawnienie procesów związanych z włączaniem, funkcjonowaniem, walidowaniem, nadawaniem i zapewnianiem jakości kwalifikacji. Umożliwi to obywatelom efektywne wykorzystywanie możliwości związanych z certyfikowaniem tych kwalifikacji oraz ułatwi im poruszanie się po dynamicznie zmieniającym się rynku pracy. W związku z tym w projekcie zaplanowano osiągnięcie następujących rezultatów: </w:t>
      </w:r>
    </w:p>
    <w:p w:rsidR="00000000" w:rsidDel="00000000" w:rsidP="00000000" w:rsidRDefault="00000000" w:rsidRPr="00000000" w14:paraId="00000066">
      <w:pPr>
        <w:numPr>
          <w:ilvl w:val="0"/>
          <w:numId w:val="1"/>
        </w:numPr>
        <w:spacing w:before="120" w:lineRule="auto"/>
        <w:ind w:left="714" w:hanging="35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wypracowanie nowych rozwiązań w zakresie organizacji zewnętrznego zapewniania jakości nadawania kwalifikacji, ich pilotaż oraz wdrożenie (cele: przyśpieszenie włączania do ZSK kwalifikacji spoza systemu oświaty i szkolnictwa wyższego, optymalizacja kosztowa); </w:t>
      </w:r>
    </w:p>
    <w:p w:rsidR="00000000" w:rsidDel="00000000" w:rsidP="00000000" w:rsidRDefault="00000000" w:rsidRPr="00000000" w14:paraId="00000067">
      <w:pPr>
        <w:numPr>
          <w:ilvl w:val="0"/>
          <w:numId w:val="1"/>
        </w:numPr>
        <w:ind w:left="714" w:hanging="35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wypracowanie nowych rozwiązań w zakresie włączania kwalifikacji do ZSK w celu optymalizacji tego procesu w odniesieniu do różnych grup kwalifikacji (kwalifikacje wolnorynkowe, sektorowe, uregulowane, “podyplomowe”), pilotaż rozwiązań oraz ich wdrożenie, w tym wsparcie ministrów właściwych;</w:t>
      </w:r>
    </w:p>
    <w:p w:rsidR="00000000" w:rsidDel="00000000" w:rsidP="00000000" w:rsidRDefault="00000000" w:rsidRPr="00000000" w14:paraId="00000068">
      <w:pPr>
        <w:numPr>
          <w:ilvl w:val="0"/>
          <w:numId w:val="1"/>
        </w:numPr>
        <w:ind w:left="714" w:hanging="35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zwiększenie wśród interesariuszy ZSK (pracodawców, instytucji certyfikujących) znajomości mechanizmów finansowania walidacji ze środków publicznych, w tym Regionalnych Programów Operacyjnych, Funduszu Pracy, Krajowego Funduszu Szkoleniowego, Bazy Usług Rozwojowych;</w:t>
      </w:r>
    </w:p>
    <w:p w:rsidR="00000000" w:rsidDel="00000000" w:rsidP="00000000" w:rsidRDefault="00000000" w:rsidRPr="00000000" w14:paraId="00000069">
      <w:pPr>
        <w:numPr>
          <w:ilvl w:val="0"/>
          <w:numId w:val="1"/>
        </w:numPr>
        <w:ind w:left="714" w:hanging="35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ułatwienie obywatelom świadomego planowania uczenia się, gromadzenia osiągnięć i zdobywania nowych kwalifikacji poprzez upowszechnienie narzędzi: Metoda Bilansu Kompetencji oraz Moje Portfolio;</w:t>
      </w:r>
    </w:p>
    <w:p w:rsidR="00000000" w:rsidDel="00000000" w:rsidP="00000000" w:rsidRDefault="00000000" w:rsidRPr="00000000" w14:paraId="0000006A">
      <w:pPr>
        <w:numPr>
          <w:ilvl w:val="0"/>
          <w:numId w:val="1"/>
        </w:numPr>
        <w:ind w:left="714" w:hanging="35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upowszechnienie ZSK w środowiskach branżowych, w tym wśród przedstawicieli organizacji branżowych, organizacji pracodawców, Branżowych Centrów Umiejętności, publicznych służb zatrudnienia w celu zwiększenia rozpoznawalności ZSK;</w:t>
      </w:r>
    </w:p>
    <w:p w:rsidR="00000000" w:rsidDel="00000000" w:rsidP="00000000" w:rsidRDefault="00000000" w:rsidRPr="00000000" w14:paraId="0000006B">
      <w:pPr>
        <w:numPr>
          <w:ilvl w:val="0"/>
          <w:numId w:val="1"/>
        </w:numPr>
        <w:ind w:left="714" w:hanging="35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dokonanie oceny efektywności wybranych, w tym nowo wprowadzonych, elementów systemu oraz wypracowanie rekomendacji w zakresie jego dalszych ewentualnych modyfikacji.</w:t>
      </w:r>
    </w:p>
    <w:p w:rsidR="00000000" w:rsidDel="00000000" w:rsidP="00000000" w:rsidRDefault="00000000" w:rsidRPr="00000000" w14:paraId="0000006C">
      <w:pPr>
        <w:spacing w:after="12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Osiągnięciu powyższych rezultatów służy realizacja następujących zadań:</w:t>
      </w:r>
    </w:p>
    <w:p w:rsidR="00000000" w:rsidDel="00000000" w:rsidP="00000000" w:rsidRDefault="00000000" w:rsidRPr="00000000" w14:paraId="0000006D">
      <w:pPr>
        <w:numPr>
          <w:ilvl w:val="0"/>
          <w:numId w:val="5"/>
        </w:numPr>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wspomaganie podmiotów realizujących zadania w ramach ZSK,</w:t>
      </w:r>
    </w:p>
    <w:p w:rsidR="00000000" w:rsidDel="00000000" w:rsidP="00000000" w:rsidRDefault="00000000" w:rsidRPr="00000000" w14:paraId="0000006E">
      <w:pPr>
        <w:numPr>
          <w:ilvl w:val="0"/>
          <w:numId w:val="5"/>
        </w:numPr>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wspieranie środowisk branżowych,</w:t>
      </w:r>
    </w:p>
    <w:p w:rsidR="00000000" w:rsidDel="00000000" w:rsidP="00000000" w:rsidRDefault="00000000" w:rsidRPr="00000000" w14:paraId="0000006F">
      <w:pPr>
        <w:numPr>
          <w:ilvl w:val="0"/>
          <w:numId w:val="5"/>
        </w:numPr>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wspieranie rozwoju oferty kwalifikacji funkcjonujących w ZSK, w tym kwalifikacji z zakresu edukacji pozaformalnej,</w:t>
      </w:r>
    </w:p>
    <w:p w:rsidR="00000000" w:rsidDel="00000000" w:rsidP="00000000" w:rsidRDefault="00000000" w:rsidRPr="00000000" w14:paraId="00000070">
      <w:pPr>
        <w:numPr>
          <w:ilvl w:val="0"/>
          <w:numId w:val="5"/>
        </w:numPr>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wdrażanie i doskonalenie rozwiązań i narzędzi informatycznych ułatwiających uczenie się i potwierdzanie umiejętności oraz ułatwianie dostępu do wiedzy na temat nowych możliwości walidacji, w tym certyfikowania umiejętności nabytych w ramach edukacji pozaformalnej i poprzez uczenie się nieformalne,</w:t>
      </w:r>
    </w:p>
    <w:p w:rsidR="00000000" w:rsidDel="00000000" w:rsidP="00000000" w:rsidRDefault="00000000" w:rsidRPr="00000000" w14:paraId="00000071">
      <w:pPr>
        <w:numPr>
          <w:ilvl w:val="0"/>
          <w:numId w:val="5"/>
        </w:numPr>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prowadzenie badań i analiz umożliwiających doskonalenie i projektowanie nowych rozwiązań ważnych dla rozwoju ZSK.</w:t>
      </w:r>
    </w:p>
    <w:p w:rsidR="00000000" w:rsidDel="00000000" w:rsidP="00000000" w:rsidRDefault="00000000" w:rsidRPr="00000000" w14:paraId="00000072">
      <w:pPr>
        <w:spacing w:after="12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Odbiorcami tych działań będą przedstawiciele instytucji i organizacji realizujących zadania wynikające z ustawy z dnia 22 grudnia 2015 r. o Zintegrowanym Systemie Kwalifikacji (Dz. U. z 2020 r. poz. 226, z późn. zm.), m.in. ministrów właściwych kierujących poszczególnymi działami administracji rządowej, instytucji im podległych i przez nich nadzorowanych, instytucji certyfikujących, szkół wyższych, instytutów naukowych, wyższych szkół zawodowych, Branżowych Centrów Umiejętności. Ponadto odbiorcami będą przedstawiciele podmiotów (w tym organizacji pozarządowych, branżowych, rynku pracy i edukacji) zainteresowanych opisaniem i włączeniem kwalifikacji spoza edukacji formalnej oraz pełnieniem funkcji instytucji certyfikujących, a także przedstawiciele jednostek samorządu terytorialnego na poziomie powiatu i regionu odpowiedzialni za edukację, prowadzenie polityki w obszarze uczenia się dorosłych lub rozwijania kapitału ludzkiego, organizacje branżowe, Sektorowe Rady ds. Kompetencji i Rada Programowa, instytucje odpowiadające za zapewnianie jakości nadawania kwalifikacji, przedsiębiorcy, w tym pracownicy działów HR. Pośrednio efekty projektu będą wykorzystywane przez osoby uczące się, pracujące oraz zatrudniające pracowników.</w:t>
      </w:r>
    </w:p>
    <w:p w:rsidR="00000000" w:rsidDel="00000000" w:rsidP="00000000" w:rsidRDefault="00000000" w:rsidRPr="00000000" w14:paraId="00000073">
      <w:pPr>
        <w:pStyle w:val="Heading1"/>
        <w:numPr>
          <w:ilvl w:val="0"/>
          <w:numId w:val="22"/>
        </w:numPr>
        <w:ind w:left="566" w:hanging="283"/>
        <w:rPr/>
      </w:pPr>
      <w:r w:rsidDel="00000000" w:rsidR="00000000" w:rsidRPr="00000000">
        <w:rPr>
          <w:rtl w:val="0"/>
        </w:rPr>
        <w:t xml:space="preserve">Słownik</w:t>
      </w:r>
    </w:p>
    <w:p w:rsidR="00000000" w:rsidDel="00000000" w:rsidP="00000000" w:rsidRDefault="00000000" w:rsidRPr="00000000" w14:paraId="00000074">
      <w:pPr>
        <w:spacing w:after="240" w:before="20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Instytucja  certyfikująca (IC)  -</w:t>
      </w:r>
      <w:r w:rsidDel="00000000" w:rsidR="00000000" w:rsidRPr="00000000">
        <w:rPr>
          <w:rFonts w:ascii="Times New Roman" w:cs="Times New Roman" w:eastAsia="Times New Roman" w:hAnsi="Times New Roman"/>
          <w:sz w:val="24"/>
          <w:szCs w:val="24"/>
          <w:rtl w:val="0"/>
        </w:rPr>
        <w:t xml:space="preserve"> Instytucja certyfikująca to podmiot z uprawnieniami do nadawania określonych kwalifikacji wolnorynkowych włączonych do ZSK, czyli do wydawania dokumentów (np. certyfikatów) potwierdzających posiadanie kwalifikacji.</w:t>
      </w:r>
    </w:p>
    <w:p w:rsidR="00000000" w:rsidDel="00000000" w:rsidP="00000000" w:rsidRDefault="00000000" w:rsidRPr="00000000" w14:paraId="00000075">
      <w:pPr>
        <w:spacing w:after="240" w:before="20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Minister koordynator ZSK (MK) - </w:t>
      </w:r>
      <w:r w:rsidDel="00000000" w:rsidR="00000000" w:rsidRPr="00000000">
        <w:rPr>
          <w:rFonts w:ascii="Times New Roman" w:cs="Times New Roman" w:eastAsia="Times New Roman" w:hAnsi="Times New Roman"/>
          <w:sz w:val="24"/>
          <w:szCs w:val="24"/>
          <w:rtl w:val="0"/>
        </w:rPr>
        <w:t xml:space="preserve">minister, do którego zadań należy m.in. projektowanie szczegółowych rozwiązań organizacyjno</w:t>
      </w:r>
      <w:r w:rsidDel="00000000" w:rsidR="00000000" w:rsidRPr="00000000">
        <w:rPr>
          <w:rFonts w:ascii="Times New Roman" w:cs="Times New Roman" w:eastAsia="Times New Roman" w:hAnsi="Times New Roman"/>
          <w:b w:val="1"/>
          <w:sz w:val="24"/>
          <w:szCs w:val="24"/>
          <w:rtl w:val="0"/>
        </w:rPr>
        <w:t xml:space="preserve">-</w:t>
      </w:r>
      <w:r w:rsidDel="00000000" w:rsidR="00000000" w:rsidRPr="00000000">
        <w:rPr>
          <w:rFonts w:ascii="Times New Roman" w:cs="Times New Roman" w:eastAsia="Times New Roman" w:hAnsi="Times New Roman"/>
          <w:sz w:val="24"/>
          <w:szCs w:val="24"/>
          <w:rtl w:val="0"/>
        </w:rPr>
        <w:t xml:space="preserve">technicznych w zakresie ZSK, monitorowane funkcjonowania ZSK,  opracowywanie raportów dotyczących ZSK, upowszechnianie wiedzy o ZSK. Zgodnie z art. 2 pkt 13 ustawy o Zintegrowanym Systemie Kwalifikacji, ministrem koordynatorem ZSK jest minister właściwy do spraw oświaty i wychowania.</w:t>
      </w:r>
    </w:p>
    <w:p w:rsidR="00000000" w:rsidDel="00000000" w:rsidP="00000000" w:rsidRDefault="00000000" w:rsidRPr="00000000" w14:paraId="00000076">
      <w:pPr>
        <w:spacing w:after="240" w:before="20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Minister właściwy (MW)</w:t>
      </w:r>
      <w:r w:rsidDel="00000000" w:rsidR="00000000" w:rsidRPr="00000000">
        <w:rPr>
          <w:rFonts w:ascii="Times New Roman" w:cs="Times New Roman" w:eastAsia="Times New Roman" w:hAnsi="Times New Roman"/>
          <w:sz w:val="24"/>
          <w:szCs w:val="24"/>
          <w:rtl w:val="0"/>
        </w:rPr>
        <w:t xml:space="preserve"> - zgodnie z ustawą o Zintegrowanym Systemie Kwalifikacji minister kierujący działem administracji rządowej jest właściwy w sprawach włączania do ZSK kwalifikacji należących do tego działu oraz w sprawach dotyczących funkcjonowania tych kwalifikacji w ZSK, w tym nadzoru nad walidacją, certyfikowaniem i zapewnianiem jakości. </w:t>
      </w:r>
    </w:p>
    <w:p w:rsidR="00000000" w:rsidDel="00000000" w:rsidP="00000000" w:rsidRDefault="00000000" w:rsidRPr="00000000" w14:paraId="00000077">
      <w:pPr>
        <w:spacing w:after="240" w:before="20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Podmiot zewnętrznego zapewniania jakości (PZZJ) </w:t>
      </w:r>
      <w:r w:rsidDel="00000000" w:rsidR="00000000" w:rsidRPr="00000000">
        <w:rPr>
          <w:rFonts w:ascii="Times New Roman" w:cs="Times New Roman" w:eastAsia="Times New Roman" w:hAnsi="Times New Roman"/>
          <w:sz w:val="24"/>
          <w:szCs w:val="24"/>
          <w:rtl w:val="0"/>
        </w:rPr>
        <w:t xml:space="preserve">- to instytucja prowadząca zorganizowaną działalność w obszarze gospodarki, rynku pracy, edukacji lub szkoleń, wpisana na listę podmiotów zewnętrznego zapewniania jakości. Zadaniem PZZJ jest tzw. zewnętrzne zapewnianie jakości działań konkretnej IC w odniesieniu do danej kwalifikacji.</w:t>
      </w:r>
    </w:p>
    <w:p w:rsidR="00000000" w:rsidDel="00000000" w:rsidP="00000000" w:rsidRDefault="00000000" w:rsidRPr="00000000" w14:paraId="00000078">
      <w:pPr>
        <w:spacing w:after="240" w:before="20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Rada Interesariuszy (RI) -</w:t>
      </w:r>
      <w:r w:rsidDel="00000000" w:rsidR="00000000" w:rsidRPr="00000000">
        <w:rPr>
          <w:rFonts w:ascii="Times New Roman" w:cs="Times New Roman" w:eastAsia="Times New Roman" w:hAnsi="Times New Roman"/>
          <w:sz w:val="24"/>
          <w:szCs w:val="24"/>
          <w:rtl w:val="0"/>
        </w:rPr>
        <w:t xml:space="preserve"> jest organem doradczym Ministra Edukacji Narodowej jako koordynatora ZSK. Są w niej przedstawiciele: organizacji społeczno-gospodarczych, samorządu terytorialnego, Rady Programowej do spraw kompetencji oraz ministra koordynatora systemu.</w:t>
      </w:r>
    </w:p>
    <w:p w:rsidR="00000000" w:rsidDel="00000000" w:rsidP="00000000" w:rsidRDefault="00000000" w:rsidRPr="00000000" w14:paraId="00000079">
      <w:pPr>
        <w:spacing w:after="240" w:before="20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Wnioskodawca</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(PW)</w:t>
      </w:r>
      <w:r w:rsidDel="00000000" w:rsidR="00000000" w:rsidRPr="00000000">
        <w:rPr>
          <w:rFonts w:ascii="Times New Roman" w:cs="Times New Roman" w:eastAsia="Times New Roman" w:hAnsi="Times New Roman"/>
          <w:sz w:val="24"/>
          <w:szCs w:val="24"/>
          <w:rtl w:val="0"/>
        </w:rPr>
        <w:t xml:space="preserve"> – podmiot wnioskujący o włączenie kwalifikacji wolnorynkowej lub sektorowej do Zintegrowanego Rejestru Kwalifikacji.</w:t>
      </w:r>
    </w:p>
    <w:p w:rsidR="00000000" w:rsidDel="00000000" w:rsidP="00000000" w:rsidRDefault="00000000" w:rsidRPr="00000000" w14:paraId="0000007A">
      <w:pPr>
        <w:spacing w:after="240" w:before="20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Zintegrowany Rejestr Kwalifikacji (ZRK) - </w:t>
      </w:r>
      <w:r w:rsidDel="00000000" w:rsidR="00000000" w:rsidRPr="00000000">
        <w:rPr>
          <w:rFonts w:ascii="Times New Roman" w:cs="Times New Roman" w:eastAsia="Times New Roman" w:hAnsi="Times New Roman"/>
          <w:sz w:val="24"/>
          <w:szCs w:val="24"/>
          <w:rtl w:val="0"/>
        </w:rPr>
        <w:t xml:space="preserve">jest rejestrem publicznym, który gromadzi informacje o wszystkich kwalifikacjach włączonych do Zintegrowanego Systemu Kwalifikacji. Rejestr powstał w 2016 roku na mocy ustawy z dnia 22 grudnia 2015 r. o Zintegrowanym Systemie Kwalifikacji i jest jednym z głównych elementów systemu. Z ZRK można dowiedzieć się, jakie kwalifikacje są włączone do ZSK, jakie wymagania trzeba spełnić, żeby uzyskać daną kwalifikację oraz jakie instytucje mają uprawnienia do ich nadawania. W rejestrze ujęte są tzw. kwalifikacje pełne, tj. te które nadawane są wyłącznie w systemach oświaty i szkolnictwa wyższego po ukończeniu określonych etapów kształcenia, a także cząstkowe, w skład których wchodzą kwalifikacje w zawodzie ze szkolnictwa branżowego, kwalifikacje nadawane po ukończeniu studiów podyplomowych, uregulowane, wolnorynkowe, sektorowe i rzemieślnicze. ZRK prowadzony jest przez </w:t>
      </w:r>
      <w:hyperlink r:id="rId7">
        <w:r w:rsidDel="00000000" w:rsidR="00000000" w:rsidRPr="00000000">
          <w:rPr>
            <w:rFonts w:ascii="Times New Roman" w:cs="Times New Roman" w:eastAsia="Times New Roman" w:hAnsi="Times New Roman"/>
            <w:sz w:val="24"/>
            <w:szCs w:val="24"/>
            <w:rtl w:val="0"/>
          </w:rPr>
          <w:t xml:space="preserve">Instytut Badań Edukacyjnych</w:t>
        </w:r>
      </w:hyperlink>
      <w:r w:rsidDel="00000000" w:rsidR="00000000" w:rsidRPr="00000000">
        <w:rPr>
          <w:rFonts w:ascii="Times New Roman" w:cs="Times New Roman" w:eastAsia="Times New Roman" w:hAnsi="Times New Roman"/>
          <w:sz w:val="24"/>
          <w:szCs w:val="24"/>
          <w:rtl w:val="0"/>
        </w:rPr>
        <w:t xml:space="preserve">, który dba o kompletność i aktualność danych gromadzonych w Rejestrze.</w:t>
      </w:r>
    </w:p>
    <w:p w:rsidR="00000000" w:rsidDel="00000000" w:rsidP="00000000" w:rsidRDefault="00000000" w:rsidRPr="00000000" w14:paraId="0000007B">
      <w:pPr>
        <w:spacing w:after="240" w:before="20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Zintegrowany System Kwalifikacji (ZSK)</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w:t>
      </w:r>
      <w:r w:rsidDel="00000000" w:rsidR="00000000" w:rsidRPr="00000000">
        <w:rPr>
          <w:rFonts w:ascii="Times New Roman" w:cs="Times New Roman" w:eastAsia="Times New Roman" w:hAnsi="Times New Roman"/>
          <w:sz w:val="24"/>
          <w:szCs w:val="24"/>
          <w:rtl w:val="0"/>
        </w:rPr>
        <w:t xml:space="preserve"> system tworzenia, porządkowania i uzyskiwania kwalifikacji nadawanych w Polsce, w którym obowiązują określone w ustawie o Zintegrowanym Systemie Kwalifikacji standardy opisywania kwalifikacji oraz przypisywania poziomu Polskiej Ramy Kwalifikacji do kwalifikacji, zasady włączania kwalifikacji do Zintegrowanego Systemu Kwalifikacji i ich ewidencjonowania w Zintegrowanym Rejestrze Kwalifikacji, a także zasady i standardy certyfikowania kwalifikacji oraz zapewniania jakości nadawania kwalifikacji. Więcej na temat ZSK można znaleźć na stronie: </w:t>
      </w:r>
      <w:hyperlink r:id="rId8">
        <w:r w:rsidDel="00000000" w:rsidR="00000000" w:rsidRPr="00000000">
          <w:rPr>
            <w:rFonts w:ascii="Times New Roman" w:cs="Times New Roman" w:eastAsia="Times New Roman" w:hAnsi="Times New Roman"/>
            <w:sz w:val="24"/>
            <w:szCs w:val="24"/>
            <w:rtl w:val="0"/>
          </w:rPr>
          <w:t xml:space="preserve">https://kwalifikacje.gov.pl/o-zsk/informacja-o-zsk</w:t>
        </w:r>
      </w:hyperlink>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7C">
      <w:pPr>
        <w:spacing w:after="240" w:before="20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Monitoring postępu prac w rozpatrywaniu i funkcjonowaniu kwalifikacji w ZSK</w:t>
      </w:r>
      <w:r w:rsidDel="00000000" w:rsidR="00000000" w:rsidRPr="00000000">
        <w:rPr>
          <w:rFonts w:ascii="Times New Roman" w:cs="Times New Roman" w:eastAsia="Times New Roman" w:hAnsi="Times New Roman"/>
          <w:sz w:val="24"/>
          <w:szCs w:val="24"/>
          <w:rtl w:val="0"/>
        </w:rPr>
        <w:t xml:space="preserve"> - gromadzenie danych w trakcie rozmów telefonicznych prowadzonych przez ekspertów IBE regularnie co 4 tygodnie z pracownikami ministerstw odpowiedzialnymi za rozpatrywanie wniosków o włączenie kwalifikacji wolnorynkowych i sektorowych do ZSK,  oraz w drodze korespondencji e-mail, konsultowanie z przedstawicielami ZRK a w przypadku wystąpienia potrzeby uzupełnianie o wyniki analizy treści stron internetowych kwalifikacje.gov.pl, rcl.gov.pl, monitorpolski.gov.pl w zakresie danych do aktualizacji tabeli monitorującej. </w:t>
      </w:r>
    </w:p>
    <w:p w:rsidR="00000000" w:rsidDel="00000000" w:rsidP="00000000" w:rsidRDefault="00000000" w:rsidRPr="00000000" w14:paraId="0000007D">
      <w:pPr>
        <w:pStyle w:val="Heading1"/>
        <w:numPr>
          <w:ilvl w:val="0"/>
          <w:numId w:val="22"/>
        </w:numPr>
        <w:ind w:left="566" w:hanging="283"/>
        <w:rPr/>
      </w:pPr>
      <w:r w:rsidDel="00000000" w:rsidR="00000000" w:rsidRPr="00000000">
        <w:rPr>
          <w:rtl w:val="0"/>
        </w:rPr>
        <w:t xml:space="preserve">Stan obecny </w:t>
      </w:r>
    </w:p>
    <w:p w:rsidR="00000000" w:rsidDel="00000000" w:rsidP="00000000" w:rsidRDefault="00000000" w:rsidRPr="00000000" w14:paraId="0000007E">
      <w:pPr>
        <w:pStyle w:val="Heading2"/>
        <w:numPr>
          <w:ilvl w:val="1"/>
          <w:numId w:val="22"/>
        </w:numPr>
        <w:ind w:left="566" w:hanging="283"/>
        <w:rPr>
          <w:rFonts w:ascii="Times New Roman" w:cs="Times New Roman" w:eastAsia="Times New Roman" w:hAnsi="Times New Roman"/>
          <w:b w:val="1"/>
        </w:rPr>
      </w:pPr>
      <w:bookmarkStart w:colFirst="0" w:colLast="0" w:name="_heading=h.gjdgxs" w:id="0"/>
      <w:bookmarkEnd w:id="0"/>
      <w:r w:rsidDel="00000000" w:rsidR="00000000" w:rsidRPr="00000000">
        <w:rPr>
          <w:rFonts w:ascii="Times New Roman" w:cs="Times New Roman" w:eastAsia="Times New Roman" w:hAnsi="Times New Roman"/>
          <w:b w:val="1"/>
          <w:rtl w:val="0"/>
        </w:rPr>
        <w:t xml:space="preserve">Ogólna charakterystyka obecnego rozwiązania</w:t>
      </w:r>
    </w:p>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200" w:before="20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Arkusz jest ręcznie uzupełniany przez grupę pracowników Zamawiającego, którzy niezbędne informacje uzyskują od od pracowników poszczególnych ministerstw (kontakt mailowy i telefoniczny) oraz innych pracowników IBE zaangażowanych w proces włączania kwalifikacji do ZSK,a także poprzez analizę publicznie dostępnych stron internetowych (m.in. Monitor Polski, rcl.gov.pl, kwalifikacje.gov.pl). </w:t>
      </w:r>
    </w:p>
    <w:p w:rsidR="00000000" w:rsidDel="00000000" w:rsidP="00000000" w:rsidRDefault="00000000" w:rsidRPr="00000000" w14:paraId="00000080">
      <w:pPr>
        <w:pBdr>
          <w:top w:space="0" w:sz="0" w:val="nil"/>
          <w:left w:space="0" w:sz="0" w:val="nil"/>
          <w:bottom w:space="0" w:sz="0" w:val="nil"/>
          <w:right w:space="0" w:sz="0" w:val="nil"/>
          <w:between w:space="0" w:sz="0" w:val="nil"/>
        </w:pBdr>
        <w:spacing w:after="200" w:before="20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Tabela Monitorująca w wersji online składa się z następujących tabel:</w:t>
      </w:r>
    </w:p>
    <w:p w:rsidR="00000000" w:rsidDel="00000000" w:rsidP="00000000" w:rsidRDefault="00000000" w:rsidRPr="00000000" w14:paraId="00000081">
      <w:pPr>
        <w:numPr>
          <w:ilvl w:val="0"/>
          <w:numId w:val="18"/>
        </w:numPr>
        <w:pBdr>
          <w:top w:space="0" w:sz="0" w:val="nil"/>
          <w:left w:space="0" w:sz="0" w:val="nil"/>
          <w:bottom w:space="0" w:sz="0" w:val="nil"/>
          <w:right w:space="0" w:sz="0" w:val="nil"/>
          <w:between w:space="0" w:sz="0" w:val="nil"/>
        </w:pBdr>
        <w:spacing w:before="20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powiązanych ze sobą formułami:</w:t>
      </w:r>
    </w:p>
    <w:p w:rsidR="00000000" w:rsidDel="00000000" w:rsidP="00000000" w:rsidRDefault="00000000" w:rsidRPr="00000000" w14:paraId="00000082">
      <w:pPr>
        <w:numPr>
          <w:ilvl w:val="0"/>
          <w:numId w:val="1"/>
        </w:numPr>
        <w:pBdr>
          <w:top w:space="0" w:sz="0" w:val="nil"/>
          <w:left w:space="0" w:sz="0" w:val="nil"/>
          <w:bottom w:space="0" w:sz="0" w:val="nil"/>
          <w:right w:space="0" w:sz="0" w:val="nil"/>
          <w:between w:space="0" w:sz="0" w:val="nil"/>
        </w:pBdr>
        <w:ind w:left="714" w:hanging="35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Lista – wnioski rozpatrywane</w:t>
      </w:r>
    </w:p>
    <w:p w:rsidR="00000000" w:rsidDel="00000000" w:rsidP="00000000" w:rsidRDefault="00000000" w:rsidRPr="00000000" w14:paraId="00000083">
      <w:pPr>
        <w:numPr>
          <w:ilvl w:val="0"/>
          <w:numId w:val="1"/>
        </w:numPr>
        <w:pBdr>
          <w:top w:space="0" w:sz="0" w:val="nil"/>
          <w:left w:space="0" w:sz="0" w:val="nil"/>
          <w:bottom w:space="0" w:sz="0" w:val="nil"/>
          <w:right w:space="0" w:sz="0" w:val="nil"/>
          <w:between w:space="0" w:sz="0" w:val="nil"/>
        </w:pBdr>
        <w:ind w:left="714" w:hanging="35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Lista – kwalifikacje funkcjonujące, umowa z PZZJ</w:t>
      </w:r>
    </w:p>
    <w:p w:rsidR="00000000" w:rsidDel="00000000" w:rsidP="00000000" w:rsidRDefault="00000000" w:rsidRPr="00000000" w14:paraId="00000084">
      <w:pPr>
        <w:numPr>
          <w:ilvl w:val="0"/>
          <w:numId w:val="1"/>
        </w:numPr>
        <w:pBdr>
          <w:top w:space="0" w:sz="0" w:val="nil"/>
          <w:left w:space="0" w:sz="0" w:val="nil"/>
          <w:bottom w:space="0" w:sz="0" w:val="nil"/>
          <w:right w:space="0" w:sz="0" w:val="nil"/>
          <w:between w:space="0" w:sz="0" w:val="nil"/>
        </w:pBdr>
        <w:ind w:left="714" w:hanging="35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Lista – wnioski rozpatrzone neg</w:t>
      </w:r>
    </w:p>
    <w:p w:rsidR="00000000" w:rsidDel="00000000" w:rsidP="00000000" w:rsidRDefault="00000000" w:rsidRPr="00000000" w14:paraId="00000085">
      <w:pPr>
        <w:numPr>
          <w:ilvl w:val="0"/>
          <w:numId w:val="1"/>
        </w:numPr>
        <w:pBdr>
          <w:top w:space="0" w:sz="0" w:val="nil"/>
          <w:left w:space="0" w:sz="0" w:val="nil"/>
          <w:bottom w:space="0" w:sz="0" w:val="nil"/>
          <w:right w:space="0" w:sz="0" w:val="nil"/>
          <w:between w:space="0" w:sz="0" w:val="nil"/>
        </w:pBdr>
        <w:ind w:left="714" w:hanging="35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Podsumowanie ministerstwa</w:t>
      </w:r>
    </w:p>
    <w:p w:rsidR="00000000" w:rsidDel="00000000" w:rsidP="00000000" w:rsidRDefault="00000000" w:rsidRPr="00000000" w14:paraId="00000086">
      <w:pPr>
        <w:numPr>
          <w:ilvl w:val="0"/>
          <w:numId w:val="1"/>
        </w:numPr>
        <w:pBdr>
          <w:top w:space="0" w:sz="0" w:val="nil"/>
          <w:left w:space="0" w:sz="0" w:val="nil"/>
          <w:bottom w:space="0" w:sz="0" w:val="nil"/>
          <w:right w:space="0" w:sz="0" w:val="nil"/>
          <w:between w:space="0" w:sz="0" w:val="nil"/>
        </w:pBdr>
        <w:ind w:left="714" w:hanging="35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Podsumowanie stanu prac</w:t>
      </w:r>
    </w:p>
    <w:p w:rsidR="00000000" w:rsidDel="00000000" w:rsidP="00000000" w:rsidRDefault="00000000" w:rsidRPr="00000000" w14:paraId="00000087">
      <w:pPr>
        <w:numPr>
          <w:ilvl w:val="0"/>
          <w:numId w:val="1"/>
        </w:numPr>
        <w:pBdr>
          <w:top w:space="0" w:sz="0" w:val="nil"/>
          <w:left w:space="0" w:sz="0" w:val="nil"/>
          <w:bottom w:space="0" w:sz="0" w:val="nil"/>
          <w:right w:space="0" w:sz="0" w:val="nil"/>
          <w:between w:space="0" w:sz="0" w:val="nil"/>
        </w:pBdr>
        <w:ind w:left="714" w:hanging="35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Kwalifikacje wskaźniki </w:t>
      </w:r>
    </w:p>
    <w:p w:rsidR="00000000" w:rsidDel="00000000" w:rsidP="00000000" w:rsidRDefault="00000000" w:rsidRPr="00000000" w14:paraId="00000088">
      <w:pPr>
        <w:numPr>
          <w:ilvl w:val="0"/>
          <w:numId w:val="18"/>
        </w:numPr>
        <w:pBdr>
          <w:top w:space="0" w:sz="0" w:val="nil"/>
          <w:left w:space="0" w:sz="0" w:val="nil"/>
          <w:bottom w:space="0" w:sz="0" w:val="nil"/>
          <w:right w:space="0" w:sz="0" w:val="nil"/>
          <w:between w:space="0" w:sz="0" w:val="nil"/>
        </w:pBdr>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dodatkowych, niepowiązanych ze sobą:</w:t>
      </w:r>
    </w:p>
    <w:p w:rsidR="00000000" w:rsidDel="00000000" w:rsidP="00000000" w:rsidRDefault="00000000" w:rsidRPr="00000000" w14:paraId="00000089">
      <w:pPr>
        <w:numPr>
          <w:ilvl w:val="0"/>
          <w:numId w:val="1"/>
        </w:numPr>
        <w:pBdr>
          <w:top w:space="0" w:sz="0" w:val="nil"/>
          <w:left w:space="0" w:sz="0" w:val="nil"/>
          <w:bottom w:space="0" w:sz="0" w:val="nil"/>
          <w:right w:space="0" w:sz="0" w:val="nil"/>
          <w:between w:space="0" w:sz="0" w:val="nil"/>
        </w:pBdr>
        <w:ind w:left="714" w:hanging="35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Projekty kwalifikacji wsp.z IBE</w:t>
      </w:r>
    </w:p>
    <w:p w:rsidR="00000000" w:rsidDel="00000000" w:rsidP="00000000" w:rsidRDefault="00000000" w:rsidRPr="00000000" w14:paraId="0000008A">
      <w:pPr>
        <w:numPr>
          <w:ilvl w:val="0"/>
          <w:numId w:val="1"/>
        </w:numPr>
        <w:pBdr>
          <w:top w:space="0" w:sz="0" w:val="nil"/>
          <w:left w:space="0" w:sz="0" w:val="nil"/>
          <w:bottom w:space="0" w:sz="0" w:val="nil"/>
          <w:right w:space="0" w:sz="0" w:val="nil"/>
          <w:between w:space="0" w:sz="0" w:val="nil"/>
        </w:pBdr>
        <w:ind w:left="714" w:hanging="35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Lista statusów</w:t>
      </w:r>
    </w:p>
    <w:p w:rsidR="00000000" w:rsidDel="00000000" w:rsidP="00000000" w:rsidRDefault="00000000" w:rsidRPr="00000000" w14:paraId="0000008B">
      <w:pPr>
        <w:numPr>
          <w:ilvl w:val="0"/>
          <w:numId w:val="1"/>
        </w:numPr>
        <w:pBdr>
          <w:top w:space="0" w:sz="0" w:val="nil"/>
          <w:left w:space="0" w:sz="0" w:val="nil"/>
          <w:bottom w:space="0" w:sz="0" w:val="nil"/>
          <w:right w:space="0" w:sz="0" w:val="nil"/>
          <w:between w:space="0" w:sz="0" w:val="nil"/>
        </w:pBdr>
        <w:ind w:left="714" w:hanging="35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Lista historia zmian (nieuzupełniana)</w:t>
      </w:r>
    </w:p>
    <w:p w:rsidR="00000000" w:rsidDel="00000000" w:rsidP="00000000" w:rsidRDefault="00000000" w:rsidRPr="00000000" w14:paraId="0000008C">
      <w:pPr>
        <w:pBdr>
          <w:top w:space="0" w:sz="0" w:val="nil"/>
          <w:left w:space="0" w:sz="0" w:val="nil"/>
          <w:bottom w:space="0" w:sz="0" w:val="nil"/>
          <w:right w:space="0" w:sz="0" w:val="nil"/>
          <w:between w:space="0" w:sz="0" w:val="nil"/>
        </w:pBdr>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D">
      <w:pPr>
        <w:pBdr>
          <w:top w:space="0" w:sz="0" w:val="nil"/>
          <w:left w:space="0" w:sz="0" w:val="nil"/>
          <w:bottom w:space="0" w:sz="0" w:val="nil"/>
          <w:right w:space="0" w:sz="0" w:val="nil"/>
          <w:between w:space="0" w:sz="0" w:val="nil"/>
        </w:pBd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Poglądowa wersja Tabeli Monitorującej stanowi załącznik do OPZ.</w:t>
      </w:r>
    </w:p>
    <w:p w:rsidR="00000000" w:rsidDel="00000000" w:rsidP="00000000" w:rsidRDefault="00000000" w:rsidRPr="00000000" w14:paraId="0000008E">
      <w:pPr>
        <w:pBdr>
          <w:top w:space="0" w:sz="0" w:val="nil"/>
          <w:left w:space="0" w:sz="0" w:val="nil"/>
          <w:bottom w:space="0" w:sz="0" w:val="nil"/>
          <w:right w:space="0" w:sz="0" w:val="nil"/>
          <w:between w:space="0" w:sz="0" w:val="nil"/>
        </w:pBdr>
        <w:spacing w:after="200" w:before="20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Dostęp do Tabeli Monitorującej w wersji online ma ograniczone grono osób, tylko z IBE. Możliwość edycji ma kilka (ok. 10 osób), które uzupełniają dane. Jedna osoba pełni funkcję administratora. Około 20 osób ma możliwość podglądu danych bez możliwości edycji.</w:t>
      </w:r>
    </w:p>
    <w:p w:rsidR="00000000" w:rsidDel="00000000" w:rsidP="00000000" w:rsidRDefault="00000000" w:rsidRPr="00000000" w14:paraId="0000008F">
      <w:pPr>
        <w:spacing w:after="200" w:before="20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Raz w miesiącu tworzona jest Zintegrowana Tabela Monitorująca. Zintegrowana Tabela Monitorująca powstaje w wyniku pobrania arkusza Google w formie MS Excel i jego modyfikacji. Modyfikacja Tabeli Monitorującej na potrzeby Zintegrowanej Tabeli Monitorującej polega w szczególności na usunięciu niektórych danych (np. zbyt szczegółowych, mających charakter danych pomocniczych dla osób uzupełniających Tabelę) oraz uzupełnieniu o dodatkowe arkusze. Zintegrowana Tabela Monitorująca jest wysyłana w formacie MS Excel do Dyrekcji IBE, przedstawicieli ministra koordynatora ZSK oraz wybranych pracowników IBE zajmujących się wdrażaniem ZSK.</w:t>
      </w:r>
    </w:p>
    <w:p w:rsidR="00000000" w:rsidDel="00000000" w:rsidP="00000000" w:rsidRDefault="00000000" w:rsidRPr="00000000" w14:paraId="00000090">
      <w:pPr>
        <w:pBdr>
          <w:top w:space="0" w:sz="0" w:val="nil"/>
          <w:left w:space="0" w:sz="0" w:val="nil"/>
          <w:bottom w:space="0" w:sz="0" w:val="nil"/>
          <w:right w:space="0" w:sz="0" w:val="nil"/>
          <w:between w:space="0" w:sz="0" w:val="nil"/>
        </w:pBdr>
        <w:spacing w:after="200" w:before="20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Zintegrowana Tabela Monitorująca składa się tylko z następujących tabel:</w:t>
      </w:r>
    </w:p>
    <w:p w:rsidR="00000000" w:rsidDel="00000000" w:rsidP="00000000" w:rsidRDefault="00000000" w:rsidRPr="00000000" w14:paraId="00000091">
      <w:pPr>
        <w:numPr>
          <w:ilvl w:val="0"/>
          <w:numId w:val="1"/>
        </w:numPr>
        <w:pBdr>
          <w:top w:space="0" w:sz="0" w:val="nil"/>
          <w:left w:space="0" w:sz="0" w:val="nil"/>
          <w:bottom w:space="0" w:sz="0" w:val="nil"/>
          <w:right w:space="0" w:sz="0" w:val="nil"/>
          <w:between w:space="0" w:sz="0" w:val="nil"/>
        </w:pBdr>
        <w:ind w:left="714" w:hanging="35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Lista – wnioski rozpatrywane </w:t>
      </w:r>
    </w:p>
    <w:p w:rsidR="00000000" w:rsidDel="00000000" w:rsidP="00000000" w:rsidRDefault="00000000" w:rsidRPr="00000000" w14:paraId="00000092">
      <w:pPr>
        <w:numPr>
          <w:ilvl w:val="0"/>
          <w:numId w:val="1"/>
        </w:numPr>
        <w:pBdr>
          <w:top w:space="0" w:sz="0" w:val="nil"/>
          <w:left w:space="0" w:sz="0" w:val="nil"/>
          <w:bottom w:space="0" w:sz="0" w:val="nil"/>
          <w:right w:space="0" w:sz="0" w:val="nil"/>
          <w:between w:space="0" w:sz="0" w:val="nil"/>
        </w:pBdr>
        <w:ind w:left="714" w:hanging="35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Lista – kwalifikacje funkcjonujące</w:t>
      </w:r>
    </w:p>
    <w:p w:rsidR="00000000" w:rsidDel="00000000" w:rsidP="00000000" w:rsidRDefault="00000000" w:rsidRPr="00000000" w14:paraId="00000093">
      <w:pPr>
        <w:numPr>
          <w:ilvl w:val="0"/>
          <w:numId w:val="1"/>
        </w:numPr>
        <w:pBdr>
          <w:top w:space="0" w:sz="0" w:val="nil"/>
          <w:left w:space="0" w:sz="0" w:val="nil"/>
          <w:bottom w:space="0" w:sz="0" w:val="nil"/>
          <w:right w:space="0" w:sz="0" w:val="nil"/>
          <w:between w:space="0" w:sz="0" w:val="nil"/>
        </w:pBdr>
        <w:ind w:left="714" w:hanging="35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Lista – wnioski rozpatrzone negatywnie</w:t>
      </w:r>
    </w:p>
    <w:p w:rsidR="00000000" w:rsidDel="00000000" w:rsidP="00000000" w:rsidRDefault="00000000" w:rsidRPr="00000000" w14:paraId="00000094">
      <w:pPr>
        <w:numPr>
          <w:ilvl w:val="0"/>
          <w:numId w:val="1"/>
        </w:numPr>
        <w:pBdr>
          <w:top w:space="0" w:sz="0" w:val="nil"/>
          <w:left w:space="0" w:sz="0" w:val="nil"/>
          <w:bottom w:space="0" w:sz="0" w:val="nil"/>
          <w:right w:space="0" w:sz="0" w:val="nil"/>
          <w:between w:space="0" w:sz="0" w:val="nil"/>
        </w:pBdr>
        <w:ind w:left="714" w:hanging="35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Podsumowanie ministerstwa</w:t>
      </w:r>
    </w:p>
    <w:p w:rsidR="00000000" w:rsidDel="00000000" w:rsidP="00000000" w:rsidRDefault="00000000" w:rsidRPr="00000000" w14:paraId="00000095">
      <w:pPr>
        <w:numPr>
          <w:ilvl w:val="0"/>
          <w:numId w:val="1"/>
        </w:numPr>
        <w:pBdr>
          <w:top w:space="0" w:sz="0" w:val="nil"/>
          <w:left w:space="0" w:sz="0" w:val="nil"/>
          <w:bottom w:space="0" w:sz="0" w:val="nil"/>
          <w:right w:space="0" w:sz="0" w:val="nil"/>
          <w:between w:space="0" w:sz="0" w:val="nil"/>
        </w:pBdr>
        <w:ind w:left="714" w:hanging="35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Podsumowanie stanu prac</w:t>
      </w:r>
    </w:p>
    <w:p w:rsidR="00000000" w:rsidDel="00000000" w:rsidP="00000000" w:rsidRDefault="00000000" w:rsidRPr="00000000" w14:paraId="00000096">
      <w:pPr>
        <w:numPr>
          <w:ilvl w:val="0"/>
          <w:numId w:val="1"/>
        </w:numPr>
        <w:pBdr>
          <w:top w:space="0" w:sz="0" w:val="nil"/>
          <w:left w:space="0" w:sz="0" w:val="nil"/>
          <w:bottom w:space="0" w:sz="0" w:val="nil"/>
          <w:right w:space="0" w:sz="0" w:val="nil"/>
          <w:between w:space="0" w:sz="0" w:val="nil"/>
        </w:pBdr>
        <w:ind w:left="714" w:hanging="35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Wnioski rozpatrywane podział na poszczególne ministerstwa (zestawienie wygenerowane specjalnie na potrzeby Zintegrowanej Tabeli Monitorującej)</w:t>
      </w:r>
    </w:p>
    <w:p w:rsidR="00000000" w:rsidDel="00000000" w:rsidP="00000000" w:rsidRDefault="00000000" w:rsidRPr="00000000" w14:paraId="00000097">
      <w:pPr>
        <w:numPr>
          <w:ilvl w:val="0"/>
          <w:numId w:val="1"/>
        </w:numPr>
        <w:pBdr>
          <w:top w:space="0" w:sz="0" w:val="nil"/>
          <w:left w:space="0" w:sz="0" w:val="nil"/>
          <w:bottom w:space="0" w:sz="0" w:val="nil"/>
          <w:right w:space="0" w:sz="0" w:val="nil"/>
          <w:between w:space="0" w:sz="0" w:val="nil"/>
        </w:pBdr>
        <w:ind w:left="714" w:hanging="35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Lista statusów</w:t>
      </w:r>
    </w:p>
    <w:p w:rsidR="00000000" w:rsidDel="00000000" w:rsidP="00000000" w:rsidRDefault="00000000" w:rsidRPr="00000000" w14:paraId="00000098">
      <w:pPr>
        <w:pBdr>
          <w:top w:space="0" w:sz="0" w:val="nil"/>
          <w:left w:space="0" w:sz="0" w:val="nil"/>
          <w:bottom w:space="0" w:sz="0" w:val="nil"/>
          <w:right w:space="0" w:sz="0" w:val="nil"/>
          <w:between w:space="0" w:sz="0" w:val="nil"/>
        </w:pBdr>
        <w:spacing w:after="200" w:before="20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 ściągniętym pliku nie udostępnia się danych:</w:t>
      </w:r>
    </w:p>
    <w:p w:rsidR="00000000" w:rsidDel="00000000" w:rsidP="00000000" w:rsidRDefault="00000000" w:rsidRPr="00000000" w14:paraId="00000099">
      <w:pPr>
        <w:numPr>
          <w:ilvl w:val="0"/>
          <w:numId w:val="1"/>
        </w:numPr>
        <w:pBdr>
          <w:top w:space="0" w:sz="0" w:val="nil"/>
          <w:left w:space="0" w:sz="0" w:val="nil"/>
          <w:bottom w:space="0" w:sz="0" w:val="nil"/>
          <w:right w:space="0" w:sz="0" w:val="nil"/>
          <w:between w:space="0" w:sz="0" w:val="nil"/>
        </w:pBdr>
        <w:ind w:left="714" w:hanging="35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osób z IBE związanych z danym etapem prac,</w:t>
      </w:r>
    </w:p>
    <w:p w:rsidR="00000000" w:rsidDel="00000000" w:rsidP="00000000" w:rsidRDefault="00000000" w:rsidRPr="00000000" w14:paraId="0000009A">
      <w:pPr>
        <w:numPr>
          <w:ilvl w:val="0"/>
          <w:numId w:val="1"/>
        </w:numPr>
        <w:pBdr>
          <w:top w:space="0" w:sz="0" w:val="nil"/>
          <w:left w:space="0" w:sz="0" w:val="nil"/>
          <w:bottom w:space="0" w:sz="0" w:val="nil"/>
          <w:right w:space="0" w:sz="0" w:val="nil"/>
          <w:between w:space="0" w:sz="0" w:val="nil"/>
        </w:pBdr>
        <w:ind w:left="714" w:hanging="35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pracowników rozpatrujących wniosek.</w:t>
      </w:r>
    </w:p>
    <w:p w:rsidR="00000000" w:rsidDel="00000000" w:rsidP="00000000" w:rsidRDefault="00000000" w:rsidRPr="00000000" w14:paraId="0000009B">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Zakres danych gromadzonych w Tabeli Monitorującej ulega zmianie w szczególności w przypadku zmiany przepisów regulujących funkcjonowanie Zintegrowanego Systemu Kwalifikacji. Zmiany procedury włączania kwalifikacji do ZSK wymagają uwzględnienia w Tabeli nowych informacji opisujących zmienione procesy. Modyfikacje Tabeli Monitorującej są również wprowadzane w wyniku zdiagnozowania dodatkowych potrzeb przez osoby uzupełniające Tabelę i generujące na jej podstawie różnego rodzaju raporty (np. w związku z oceną, że niektóre procedury włączania kwalifikacji do ZSK wymagają bardziej szczegółowego opisu dodawane są m.in. dodatkowe statusy czy kolumny).</w:t>
      </w:r>
    </w:p>
    <w:p w:rsidR="00000000" w:rsidDel="00000000" w:rsidP="00000000" w:rsidRDefault="00000000" w:rsidRPr="00000000" w14:paraId="0000009C">
      <w:pPr>
        <w:pStyle w:val="Heading2"/>
        <w:numPr>
          <w:ilvl w:val="1"/>
          <w:numId w:val="22"/>
        </w:numPr>
        <w:pBdr>
          <w:top w:space="0" w:sz="0" w:val="nil"/>
          <w:left w:space="0" w:sz="0" w:val="nil"/>
          <w:bottom w:space="0" w:sz="0" w:val="nil"/>
          <w:right w:space="0" w:sz="0" w:val="nil"/>
          <w:between w:space="0" w:sz="0" w:val="nil"/>
        </w:pBdr>
        <w:ind w:left="566" w:hanging="283"/>
        <w:rPr>
          <w:rFonts w:ascii="Times New Roman" w:cs="Times New Roman" w:eastAsia="Times New Roman" w:hAnsi="Times New Roman"/>
          <w:b w:val="1"/>
        </w:rPr>
      </w:pPr>
      <w:bookmarkStart w:colFirst="0" w:colLast="0" w:name="_heading=h.30j0zll" w:id="1"/>
      <w:bookmarkEnd w:id="1"/>
      <w:r w:rsidDel="00000000" w:rsidR="00000000" w:rsidRPr="00000000">
        <w:rPr>
          <w:rFonts w:ascii="Times New Roman" w:cs="Times New Roman" w:eastAsia="Times New Roman" w:hAnsi="Times New Roman"/>
          <w:b w:val="1"/>
          <w:color w:val="000000"/>
          <w:rtl w:val="0"/>
        </w:rPr>
        <w:t xml:space="preserve">Charakterystyka poszczególnych tabel</w:t>
      </w:r>
      <w:r w:rsidDel="00000000" w:rsidR="00000000" w:rsidRPr="00000000">
        <w:rPr>
          <w:rtl w:val="0"/>
        </w:rPr>
      </w:r>
    </w:p>
    <w:p w:rsidR="00000000" w:rsidDel="00000000" w:rsidP="00000000" w:rsidRDefault="00000000" w:rsidRPr="00000000" w14:paraId="0000009D">
      <w:pPr>
        <w:pStyle w:val="Heading3"/>
        <w:numPr>
          <w:ilvl w:val="2"/>
          <w:numId w:val="22"/>
        </w:numPr>
        <w:spacing w:after="240" w:before="120" w:lineRule="auto"/>
        <w:ind w:left="566" w:hanging="141"/>
        <w:jc w:val="both"/>
        <w:rPr/>
      </w:pPr>
      <w:bookmarkStart w:colFirst="0" w:colLast="0" w:name="_heading=h.1fob9te" w:id="2"/>
      <w:bookmarkEnd w:id="2"/>
      <w:r w:rsidDel="00000000" w:rsidR="00000000" w:rsidRPr="00000000">
        <w:rPr>
          <w:rtl w:val="0"/>
        </w:rPr>
        <w:t xml:space="preserve">Tabela “Lista-wnioski rozpatrywane”</w:t>
      </w:r>
    </w:p>
    <w:p w:rsidR="00000000" w:rsidDel="00000000" w:rsidP="00000000" w:rsidRDefault="00000000" w:rsidRPr="00000000" w14:paraId="0000009E">
      <w:pPr>
        <w:pBdr>
          <w:top w:space="0" w:sz="0" w:val="nil"/>
          <w:left w:space="0" w:sz="0" w:val="nil"/>
          <w:bottom w:space="0" w:sz="0" w:val="nil"/>
          <w:right w:space="0" w:sz="0" w:val="nil"/>
          <w:between w:space="0" w:sz="0" w:val="nil"/>
        </w:pBdr>
        <w:spacing w:after="200" w:before="20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Tabela składa się z 24 kolumn:</w:t>
      </w:r>
    </w:p>
    <w:p w:rsidR="00000000" w:rsidDel="00000000" w:rsidP="00000000" w:rsidRDefault="00000000" w:rsidRPr="00000000" w14:paraId="0000009F">
      <w:pPr>
        <w:numPr>
          <w:ilvl w:val="0"/>
          <w:numId w:val="21"/>
        </w:numPr>
        <w:pBdr>
          <w:top w:space="0" w:sz="0" w:val="nil"/>
          <w:left w:space="0" w:sz="0" w:val="nil"/>
          <w:bottom w:space="0" w:sz="0" w:val="nil"/>
          <w:right w:space="0" w:sz="0" w:val="nil"/>
          <w:between w:space="0" w:sz="0" w:val="nil"/>
        </w:pBdr>
        <w:spacing w:before="200"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Minister Właściwy (MW)</w:t>
      </w:r>
    </w:p>
    <w:p w:rsidR="00000000" w:rsidDel="00000000" w:rsidP="00000000" w:rsidRDefault="00000000" w:rsidRPr="00000000" w14:paraId="000000A0">
      <w:pPr>
        <w:pBdr>
          <w:top w:space="0" w:sz="0" w:val="nil"/>
          <w:left w:space="0" w:sz="0" w:val="nil"/>
          <w:bottom w:space="0" w:sz="0" w:val="nil"/>
          <w:right w:space="0" w:sz="0" w:val="nil"/>
          <w:between w:space="0" w:sz="0" w:val="nil"/>
        </w:pBdr>
        <w:spacing w:after="20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Pole tekstowe. Kolumna zawiera nazwę ministra właściwego. Obecnie brak słownika.</w:t>
      </w:r>
    </w:p>
    <w:p w:rsidR="00000000" w:rsidDel="00000000" w:rsidP="00000000" w:rsidRDefault="00000000" w:rsidRPr="00000000" w14:paraId="000000A1">
      <w:pPr>
        <w:numPr>
          <w:ilvl w:val="0"/>
          <w:numId w:val="21"/>
        </w:numPr>
        <w:pBdr>
          <w:top w:space="0" w:sz="0" w:val="nil"/>
          <w:left w:space="0" w:sz="0" w:val="nil"/>
          <w:bottom w:space="0" w:sz="0" w:val="nil"/>
          <w:right w:space="0" w:sz="0" w:val="nil"/>
          <w:between w:space="0" w:sz="0" w:val="nil"/>
        </w:pBdr>
        <w:spacing w:before="20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Projekt, w ramach którego podmiot skorzystał ze wsparcia IBE</w:t>
      </w:r>
    </w:p>
    <w:p w:rsidR="00000000" w:rsidDel="00000000" w:rsidP="00000000" w:rsidRDefault="00000000" w:rsidRPr="00000000" w14:paraId="000000A2">
      <w:pPr>
        <w:pBdr>
          <w:top w:space="0" w:sz="0" w:val="nil"/>
          <w:left w:space="0" w:sz="0" w:val="nil"/>
          <w:bottom w:space="0" w:sz="0" w:val="nil"/>
          <w:right w:space="0" w:sz="0" w:val="nil"/>
          <w:between w:space="0" w:sz="0" w:val="nil"/>
        </w:pBdr>
        <w:spacing w:after="20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Pole tekstowe. Kolumna zawiera oznaczenie projektu. Uzupełniana na podstawie słownika - tabela “Słownik wskaźnika projektów ZSK”. </w:t>
      </w:r>
    </w:p>
    <w:p w:rsidR="00000000" w:rsidDel="00000000" w:rsidP="00000000" w:rsidRDefault="00000000" w:rsidRPr="00000000" w14:paraId="000000A3">
      <w:pPr>
        <w:numPr>
          <w:ilvl w:val="0"/>
          <w:numId w:val="21"/>
        </w:numPr>
        <w:spacing w:after="200" w:before="20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Kategoria kwalifikacji</w:t>
      </w:r>
    </w:p>
    <w:p w:rsidR="00000000" w:rsidDel="00000000" w:rsidP="00000000" w:rsidRDefault="00000000" w:rsidRPr="00000000" w14:paraId="000000A4">
      <w:pPr>
        <w:spacing w:after="200" w:before="20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Pole tekstowe. Kolumna zawiera nazwę kategori kwalifikacji cząstkowych spoza systemu oświaty i szkolnictwa wyższego zgodnie z obowiązującymi zapisami ustawy o ZSK np. wolnorynkowe i sektorowe, uregulowane, rzemieślnicze. Obecnie wyróżnia się kwalifikacje wolnorynkowe i sektorowe</w:t>
      </w:r>
    </w:p>
    <w:p w:rsidR="00000000" w:rsidDel="00000000" w:rsidP="00000000" w:rsidRDefault="00000000" w:rsidRPr="00000000" w14:paraId="000000A5">
      <w:pPr>
        <w:numPr>
          <w:ilvl w:val="0"/>
          <w:numId w:val="21"/>
        </w:numPr>
        <w:pBdr>
          <w:top w:space="0" w:sz="0" w:val="nil"/>
          <w:left w:space="0" w:sz="0" w:val="nil"/>
          <w:bottom w:space="0" w:sz="0" w:val="nil"/>
          <w:right w:space="0" w:sz="0" w:val="nil"/>
          <w:between w:space="0" w:sz="0" w:val="nil"/>
        </w:pBdr>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Nazwa kwalifikacji</w:t>
      </w:r>
    </w:p>
    <w:p w:rsidR="00000000" w:rsidDel="00000000" w:rsidP="00000000" w:rsidRDefault="00000000" w:rsidRPr="00000000" w14:paraId="000000A6">
      <w:pPr>
        <w:pBdr>
          <w:top w:space="0" w:sz="0" w:val="nil"/>
          <w:left w:space="0" w:sz="0" w:val="nil"/>
          <w:bottom w:space="0" w:sz="0" w:val="nil"/>
          <w:right w:space="0" w:sz="0" w:val="nil"/>
          <w:between w:space="0" w:sz="0" w:val="nil"/>
        </w:pBdr>
        <w:spacing w:after="20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Pole tekstowe. Kolumna zawiera nazwę kwalifikacji.</w:t>
      </w:r>
    </w:p>
    <w:p w:rsidR="00000000" w:rsidDel="00000000" w:rsidP="00000000" w:rsidRDefault="00000000" w:rsidRPr="00000000" w14:paraId="000000A7">
      <w:pPr>
        <w:numPr>
          <w:ilvl w:val="0"/>
          <w:numId w:val="21"/>
        </w:numPr>
        <w:pBdr>
          <w:top w:space="0" w:sz="0" w:val="nil"/>
          <w:left w:space="0" w:sz="0" w:val="nil"/>
          <w:bottom w:space="0" w:sz="0" w:val="nil"/>
          <w:right w:space="0" w:sz="0" w:val="nil"/>
          <w:between w:space="0" w:sz="0" w:val="nil"/>
        </w:pBdr>
        <w:spacing w:before="20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Wnioskodawca</w:t>
      </w:r>
    </w:p>
    <w:p w:rsidR="00000000" w:rsidDel="00000000" w:rsidP="00000000" w:rsidRDefault="00000000" w:rsidRPr="00000000" w14:paraId="000000A8">
      <w:pPr>
        <w:pBdr>
          <w:top w:space="0" w:sz="0" w:val="nil"/>
          <w:left w:space="0" w:sz="0" w:val="nil"/>
          <w:bottom w:space="0" w:sz="0" w:val="nil"/>
          <w:right w:space="0" w:sz="0" w:val="nil"/>
          <w:between w:space="0" w:sz="0" w:val="nil"/>
        </w:pBdr>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Pole tekstowe. Kolumna zawiera nazwę podmiotu wnioskującego o włączenie kwalifikacji do ZSK. </w:t>
      </w:r>
    </w:p>
    <w:p w:rsidR="00000000" w:rsidDel="00000000" w:rsidP="00000000" w:rsidRDefault="00000000" w:rsidRPr="00000000" w14:paraId="000000A9">
      <w:pPr>
        <w:numPr>
          <w:ilvl w:val="0"/>
          <w:numId w:val="21"/>
        </w:numPr>
        <w:pBdr>
          <w:top w:space="0" w:sz="0" w:val="nil"/>
          <w:left w:space="0" w:sz="0" w:val="nil"/>
          <w:bottom w:space="0" w:sz="0" w:val="nil"/>
          <w:right w:space="0" w:sz="0" w:val="nil"/>
          <w:between w:space="0" w:sz="0" w:val="nil"/>
        </w:pBdr>
        <w:spacing w:before="20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Tryb włączania (stary tryb do 31.12.2023 lub nowy tryb od 1.01.2024)</w:t>
      </w:r>
    </w:p>
    <w:p w:rsidR="00000000" w:rsidDel="00000000" w:rsidP="00000000" w:rsidRDefault="00000000" w:rsidRPr="00000000" w14:paraId="000000AA">
      <w:pPr>
        <w:shd w:fill="ffffff" w:val="clear"/>
        <w:spacing w:after="200" w:lineRule="auto"/>
        <w:ind w:left="720" w:firstLine="0"/>
        <w:jc w:val="both"/>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W związku ze zmianami w ustawie o ZSK, wnioski o włączenie do ZSK kwalifikacji rynkowych, które do 31.12.2023 r. zostały przedłożone do konsultacji z zainteresowanymi środowiskami, są rozpatrywane w trybie dotychczasowym (roboczo nazwany “starym trybem”).</w:t>
      </w:r>
    </w:p>
    <w:p w:rsidR="00000000" w:rsidDel="00000000" w:rsidP="00000000" w:rsidRDefault="00000000" w:rsidRPr="00000000" w14:paraId="000000AB">
      <w:pPr>
        <w:shd w:fill="ffffff" w:val="clear"/>
        <w:spacing w:after="200" w:before="200" w:lineRule="auto"/>
        <w:ind w:left="720" w:firstLine="0"/>
        <w:jc w:val="both"/>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Wnioski, które trafiły do ministerstw przed 31.12.2023 r., ale nie zostały przedłożone do konsultacji z zainteresowanymi środowiskami, zgodnie z przepisami przejściowymi, zostały zwrócone do wnioskodawców. Część z nich już złożyła wnioski powtórnie. Zarówno powtórnie złożone wnioski, jak i nowe wnioski złożone po 1.01.2024 są rozpatrywane zgodnie z nowymi przepisami ustawowymi (“nowy tryb”). </w:t>
      </w:r>
    </w:p>
    <w:p w:rsidR="00000000" w:rsidDel="00000000" w:rsidP="00000000" w:rsidRDefault="00000000" w:rsidRPr="00000000" w14:paraId="000000AC">
      <w:pPr>
        <w:shd w:fill="ffffff" w:val="clear"/>
        <w:spacing w:after="200" w:before="20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222222"/>
          <w:sz w:val="24"/>
          <w:szCs w:val="24"/>
          <w:rtl w:val="0"/>
        </w:rPr>
        <w:t xml:space="preserve">Tabela Monitorująca obejmuje oba tryby włączania kwalifikacji.</w:t>
      </w:r>
      <w:r w:rsidDel="00000000" w:rsidR="00000000" w:rsidRPr="00000000">
        <w:rPr>
          <w:rtl w:val="0"/>
        </w:rPr>
      </w:r>
    </w:p>
    <w:p w:rsidR="00000000" w:rsidDel="00000000" w:rsidP="00000000" w:rsidRDefault="00000000" w:rsidRPr="00000000" w14:paraId="000000AD">
      <w:pPr>
        <w:numPr>
          <w:ilvl w:val="0"/>
          <w:numId w:val="21"/>
        </w:numPr>
        <w:spacing w:before="20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Dział zgodnie z ustawą o działach administracji rządowej</w:t>
      </w:r>
    </w:p>
    <w:p w:rsidR="00000000" w:rsidDel="00000000" w:rsidP="00000000" w:rsidRDefault="00000000" w:rsidRPr="00000000" w14:paraId="000000AE">
      <w:pPr>
        <w:shd w:fill="ffffff" w:val="clear"/>
        <w:spacing w:after="200" w:before="200" w:lineRule="auto"/>
        <w:ind w:left="720" w:firstLine="0"/>
        <w:jc w:val="both"/>
        <w:rPr>
          <w:rFonts w:ascii="Times New Roman" w:cs="Times New Roman" w:eastAsia="Times New Roman" w:hAnsi="Times New Roman"/>
          <w:sz w:val="24"/>
          <w:szCs w:val="24"/>
          <w:highlight w:val="yellow"/>
        </w:rPr>
      </w:pPr>
      <w:r w:rsidDel="00000000" w:rsidR="00000000" w:rsidRPr="00000000">
        <w:rPr>
          <w:rFonts w:ascii="Times New Roman" w:cs="Times New Roman" w:eastAsia="Times New Roman" w:hAnsi="Times New Roman"/>
          <w:color w:val="222222"/>
          <w:sz w:val="24"/>
          <w:szCs w:val="24"/>
          <w:rtl w:val="0"/>
        </w:rPr>
        <w:t xml:space="preserve">Pole tekstowe. Kolumna zawiera określenie działu administracji rządowej, o którym mowa w art. 5 ustawy z dnia 4 września 1997 r. o działach administracji rządowej (Dz. U. z 2022 r. poz. 2512), właściwego dla danej kwalifikacji. Pole jest powiązane z polem “Minister Właściwy (MW)” - minister właściwy kieruje działem gospodarki właściwym dla danej kwalifikacji. Dany MW może odpowiadać za więcej niż jeden dział administracji rządowej, np. Minister Rozwoju i Technologii odpowiada za dział gospodarka i budownictwo. W związku ze zmianami w Radzie Ministrów (tworzenie, likwidacja i przekształcanie ministerstw) może ulegać zmianie przypisanie działu do konkretnego ministra. Np. w związku z utworzeniem Ministerstwa Przemysłu w wyniku przekształcenia Ministerstwa Aktywów Państwowych sprawy gospodarki surowcami energetycznymi zostały przeniesione z Ministerstwa Aktywów Państwowych do Ministerstwa Przemysłu i obecnie ministrem właściwym dla tych spraw jest Minister Przemysłu.  </w:t>
      </w:r>
      <w:r w:rsidDel="00000000" w:rsidR="00000000" w:rsidRPr="00000000">
        <w:rPr>
          <w:rtl w:val="0"/>
        </w:rPr>
      </w:r>
    </w:p>
    <w:p w:rsidR="00000000" w:rsidDel="00000000" w:rsidP="00000000" w:rsidRDefault="00000000" w:rsidRPr="00000000" w14:paraId="000000AF">
      <w:pPr>
        <w:numPr>
          <w:ilvl w:val="0"/>
          <w:numId w:val="21"/>
        </w:numPr>
        <w:spacing w:before="20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Pracownicy IBE wspierający opis kwalifikacji</w:t>
      </w:r>
    </w:p>
    <w:p w:rsidR="00000000" w:rsidDel="00000000" w:rsidP="00000000" w:rsidRDefault="00000000" w:rsidRPr="00000000" w14:paraId="000000B0">
      <w:pPr>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Pole tekstowe. Kolumna zawiera imię i nazwisko pracownika IBE powiązanego ze wsparciem opisu kwalifikacji. realizacją  danego etapu prac nad kwalifikacją. Wpisy w poszczególnych polach mogą zawierać więcej niż jedno imię i nazwisko.</w:t>
      </w:r>
    </w:p>
    <w:p w:rsidR="00000000" w:rsidDel="00000000" w:rsidP="00000000" w:rsidRDefault="00000000" w:rsidRPr="00000000" w14:paraId="000000B1">
      <w:pPr>
        <w:numPr>
          <w:ilvl w:val="0"/>
          <w:numId w:val="21"/>
        </w:numPr>
        <w:pBdr>
          <w:top w:space="0" w:sz="0" w:val="nil"/>
          <w:left w:space="0" w:sz="0" w:val="nil"/>
          <w:bottom w:space="0" w:sz="0" w:val="nil"/>
          <w:right w:space="0" w:sz="0" w:val="nil"/>
          <w:between w:space="0" w:sz="0" w:val="nil"/>
        </w:pBdr>
        <w:spacing w:before="20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Koordynator w ministerstwie rozpatrującym wniosek</w:t>
      </w:r>
    </w:p>
    <w:p w:rsidR="00000000" w:rsidDel="00000000" w:rsidP="00000000" w:rsidRDefault="00000000" w:rsidRPr="00000000" w14:paraId="000000B2">
      <w:pPr>
        <w:pBdr>
          <w:top w:space="0" w:sz="0" w:val="nil"/>
          <w:left w:space="0" w:sz="0" w:val="nil"/>
          <w:bottom w:space="0" w:sz="0" w:val="nil"/>
          <w:right w:space="0" w:sz="0" w:val="nil"/>
          <w:between w:space="0" w:sz="0" w:val="nil"/>
        </w:pBdr>
        <w:spacing w:after="20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Pole tekstowe. Kolumna zawiera imię i nazwisko koordynatora w ministerstwie rozpatrującym wniosek, określenie jednostki organizacyjnej MW i stanowiska, numer telefonu i adres e-mail koordynatora. Wpisy w poszczególnych polach mogą zawierać dane więcej niż jednego koordynatora.</w:t>
      </w:r>
    </w:p>
    <w:p w:rsidR="00000000" w:rsidDel="00000000" w:rsidP="00000000" w:rsidRDefault="00000000" w:rsidRPr="00000000" w14:paraId="000000B3">
      <w:pPr>
        <w:numPr>
          <w:ilvl w:val="0"/>
          <w:numId w:val="21"/>
        </w:numPr>
        <w:pBdr>
          <w:top w:space="0" w:sz="0" w:val="nil"/>
          <w:left w:space="0" w:sz="0" w:val="nil"/>
          <w:bottom w:space="0" w:sz="0" w:val="nil"/>
          <w:right w:space="0" w:sz="0" w:val="nil"/>
          <w:between w:space="0" w:sz="0" w:val="nil"/>
        </w:pBdr>
        <w:spacing w:before="20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Departament w ministerstwie rozpatrującym wniosek</w:t>
      </w:r>
    </w:p>
    <w:p w:rsidR="00000000" w:rsidDel="00000000" w:rsidP="00000000" w:rsidRDefault="00000000" w:rsidRPr="00000000" w14:paraId="000000B4">
      <w:pPr>
        <w:pBdr>
          <w:top w:space="0" w:sz="0" w:val="nil"/>
          <w:left w:space="0" w:sz="0" w:val="nil"/>
          <w:bottom w:space="0" w:sz="0" w:val="nil"/>
          <w:right w:space="0" w:sz="0" w:val="nil"/>
          <w:between w:space="0" w:sz="0" w:val="nil"/>
        </w:pBdr>
        <w:spacing w:after="20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Pole tekstowe. Kolumna zawiera nazwę departamentu w ministerstwie rozpatrującym wniosek oraz imię i nazwisko dyrektora, zastępcy dyrektora, dane kontaktowe (e-mail, numer telefonu).</w:t>
      </w:r>
    </w:p>
    <w:p w:rsidR="00000000" w:rsidDel="00000000" w:rsidP="00000000" w:rsidRDefault="00000000" w:rsidRPr="00000000" w14:paraId="000000B5">
      <w:pPr>
        <w:numPr>
          <w:ilvl w:val="0"/>
          <w:numId w:val="21"/>
        </w:numPr>
        <w:pBdr>
          <w:top w:space="0" w:sz="0" w:val="nil"/>
          <w:left w:space="0" w:sz="0" w:val="nil"/>
          <w:bottom w:space="0" w:sz="0" w:val="nil"/>
          <w:right w:space="0" w:sz="0" w:val="nil"/>
          <w:between w:space="0" w:sz="0" w:val="nil"/>
        </w:pBdr>
        <w:spacing w:before="20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Urzędnik odpowiedzialny</w:t>
      </w:r>
    </w:p>
    <w:p w:rsidR="00000000" w:rsidDel="00000000" w:rsidP="00000000" w:rsidRDefault="00000000" w:rsidRPr="00000000" w14:paraId="000000B6">
      <w:pPr>
        <w:spacing w:after="20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Pole tekstowe. Kolumna zawiera dane urzędnika odpowiedzialnego: imię i nazwisko, określenie stanowiska, jednostki organizacyjnej w ministerstwie, w której urzędnik jest zatrudniony, dane kontaktowe (e-mail, numer telefonu).</w:t>
      </w:r>
    </w:p>
    <w:p w:rsidR="00000000" w:rsidDel="00000000" w:rsidP="00000000" w:rsidRDefault="00000000" w:rsidRPr="00000000" w14:paraId="000000B7">
      <w:pPr>
        <w:numPr>
          <w:ilvl w:val="0"/>
          <w:numId w:val="21"/>
        </w:numPr>
        <w:pBdr>
          <w:top w:space="0" w:sz="0" w:val="nil"/>
          <w:left w:space="0" w:sz="0" w:val="nil"/>
          <w:bottom w:space="0" w:sz="0" w:val="nil"/>
          <w:right w:space="0" w:sz="0" w:val="nil"/>
          <w:between w:space="0" w:sz="0" w:val="nil"/>
        </w:pBdr>
        <w:spacing w:before="20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Wniosek w trakcie oceny merytorycznej </w:t>
      </w:r>
    </w:p>
    <w:p w:rsidR="00000000" w:rsidDel="00000000" w:rsidP="00000000" w:rsidRDefault="00000000" w:rsidRPr="00000000" w14:paraId="000000B8">
      <w:pPr>
        <w:pBdr>
          <w:top w:space="0" w:sz="0" w:val="nil"/>
          <w:left w:space="0" w:sz="0" w:val="nil"/>
          <w:bottom w:space="0" w:sz="0" w:val="nil"/>
          <w:right w:space="0" w:sz="0" w:val="nil"/>
          <w:between w:space="0" w:sz="0" w:val="nil"/>
        </w:pBdr>
        <w:spacing w:after="20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Pole tekstowe. Dwie wartości; TAK lub NIE.</w:t>
      </w:r>
    </w:p>
    <w:p w:rsidR="00000000" w:rsidDel="00000000" w:rsidP="00000000" w:rsidRDefault="00000000" w:rsidRPr="00000000" w14:paraId="000000B9">
      <w:pPr>
        <w:spacing w:after="20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Wartość TAK jest obecnie uzupełniana od momentu, kiedy wniosek jest w trakcie oceny formalnej w ZRK do momentu opublikowania obwieszczenia i włączenia kwalifikacji do ZSK lub jej rozpatrzenia negatywnie albo wycofania wniosku przez Wnioskodawcę lub pozostawienie wniosku bez rozpatrzenia przez MW.</w:t>
      </w:r>
    </w:p>
    <w:p w:rsidR="00000000" w:rsidDel="00000000" w:rsidP="00000000" w:rsidRDefault="00000000" w:rsidRPr="00000000" w14:paraId="000000BA">
      <w:pPr>
        <w:pBdr>
          <w:top w:space="0" w:sz="0" w:val="nil"/>
          <w:left w:space="0" w:sz="0" w:val="nil"/>
          <w:bottom w:space="0" w:sz="0" w:val="nil"/>
          <w:right w:space="0" w:sz="0" w:val="nil"/>
          <w:between w:space="0" w:sz="0" w:val="nil"/>
        </w:pBdr>
        <w:spacing w:after="20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Wartość NIE jest uzupełniana, gdy kwalifikacja zostanie włączona do ZSK (statusy 25, 26, 27, 28), a także gdy wniosek został rozpatrzony negatywnie (i rekord jest przenoszony do tabeli “Lista - wnioski rozpatrzone neg”)</w:t>
      </w:r>
      <w:r w:rsidDel="00000000" w:rsidR="00000000" w:rsidRPr="00000000">
        <w:rPr>
          <w:rFonts w:ascii="Roboto" w:cs="Roboto" w:eastAsia="Roboto" w:hAnsi="Roboto"/>
          <w:b w:val="1"/>
          <w:color w:val="222222"/>
          <w:sz w:val="21"/>
          <w:szCs w:val="21"/>
          <w:shd w:fill="e1e9f7" w:val="clear"/>
          <w:rtl w:val="0"/>
        </w:rPr>
        <w:t xml:space="preserve"> </w:t>
      </w:r>
      <w:r w:rsidDel="00000000" w:rsidR="00000000" w:rsidRPr="00000000">
        <w:rPr>
          <w:rFonts w:ascii="Times New Roman" w:cs="Times New Roman" w:eastAsia="Times New Roman" w:hAnsi="Times New Roman"/>
          <w:sz w:val="24"/>
          <w:szCs w:val="24"/>
          <w:rtl w:val="0"/>
        </w:rPr>
        <w:t xml:space="preserve">albo nastąpiło wycofanie wniosku przez Wnioskodawcę lub pozostawiono wniosek bez rozpatrzenia przez MW. </w:t>
      </w:r>
    </w:p>
    <w:p w:rsidR="00000000" w:rsidDel="00000000" w:rsidP="00000000" w:rsidRDefault="00000000" w:rsidRPr="00000000" w14:paraId="000000BB">
      <w:pPr>
        <w:numPr>
          <w:ilvl w:val="0"/>
          <w:numId w:val="21"/>
        </w:numPr>
        <w:pBdr>
          <w:top w:space="0" w:sz="0" w:val="nil"/>
          <w:left w:space="0" w:sz="0" w:val="nil"/>
          <w:bottom w:space="0" w:sz="0" w:val="nil"/>
          <w:right w:space="0" w:sz="0" w:val="nil"/>
          <w:between w:space="0" w:sz="0" w:val="nil"/>
        </w:pBdr>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Data złożenia wniosku w ZRK</w:t>
      </w:r>
    </w:p>
    <w:p w:rsidR="00000000" w:rsidDel="00000000" w:rsidP="00000000" w:rsidRDefault="00000000" w:rsidRPr="00000000" w14:paraId="000000BC">
      <w:pPr>
        <w:pBdr>
          <w:top w:space="0" w:sz="0" w:val="nil"/>
          <w:left w:space="0" w:sz="0" w:val="nil"/>
          <w:bottom w:space="0" w:sz="0" w:val="nil"/>
          <w:right w:space="0" w:sz="0" w:val="nil"/>
          <w:between w:space="0" w:sz="0" w:val="nil"/>
        </w:pBdr>
        <w:spacing w:after="20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Pole typu data.</w:t>
      </w:r>
    </w:p>
    <w:p w:rsidR="00000000" w:rsidDel="00000000" w:rsidP="00000000" w:rsidRDefault="00000000" w:rsidRPr="00000000" w14:paraId="000000BD">
      <w:pPr>
        <w:numPr>
          <w:ilvl w:val="0"/>
          <w:numId w:val="21"/>
        </w:numPr>
        <w:pBdr>
          <w:top w:space="0" w:sz="0" w:val="nil"/>
          <w:left w:space="0" w:sz="0" w:val="nil"/>
          <w:bottom w:space="0" w:sz="0" w:val="nil"/>
          <w:right w:space="0" w:sz="0" w:val="nil"/>
          <w:between w:space="0" w:sz="0" w:val="nil"/>
        </w:pBdr>
        <w:spacing w:before="20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Data przekazania wniosku do MW przez ZRK (pierwszy MW)</w:t>
      </w:r>
    </w:p>
    <w:p w:rsidR="00000000" w:rsidDel="00000000" w:rsidP="00000000" w:rsidRDefault="00000000" w:rsidRPr="00000000" w14:paraId="000000BE">
      <w:pPr>
        <w:pBdr>
          <w:top w:space="0" w:sz="0" w:val="nil"/>
          <w:left w:space="0" w:sz="0" w:val="nil"/>
          <w:bottom w:space="0" w:sz="0" w:val="nil"/>
          <w:right w:space="0" w:sz="0" w:val="nil"/>
          <w:between w:space="0" w:sz="0" w:val="nil"/>
        </w:pBdr>
        <w:spacing w:after="200" w:lineRule="auto"/>
        <w:ind w:left="720" w:firstLine="0"/>
        <w:jc w:val="both"/>
        <w:rPr/>
      </w:pPr>
      <w:r w:rsidDel="00000000" w:rsidR="00000000" w:rsidRPr="00000000">
        <w:rPr>
          <w:rFonts w:ascii="Times New Roman" w:cs="Times New Roman" w:eastAsia="Times New Roman" w:hAnsi="Times New Roman"/>
          <w:sz w:val="24"/>
          <w:szCs w:val="24"/>
          <w:rtl w:val="0"/>
        </w:rPr>
        <w:t xml:space="preserve">Pole tekstowe. Kolumna zawiera datę oraz oznaczenie (skrót nazwy) ministra właściwego, do którego trafia wniosek po ocenie formalnej ZRK.</w:t>
      </w:r>
      <w:r w:rsidDel="00000000" w:rsidR="00000000" w:rsidRPr="00000000">
        <w:rPr>
          <w:rtl w:val="0"/>
        </w:rPr>
      </w:r>
    </w:p>
    <w:p w:rsidR="00000000" w:rsidDel="00000000" w:rsidP="00000000" w:rsidRDefault="00000000" w:rsidRPr="00000000" w14:paraId="000000BF">
      <w:pPr>
        <w:numPr>
          <w:ilvl w:val="0"/>
          <w:numId w:val="21"/>
        </w:numPr>
        <w:pBdr>
          <w:top w:space="0" w:sz="0" w:val="nil"/>
          <w:left w:space="0" w:sz="0" w:val="nil"/>
          <w:bottom w:space="0" w:sz="0" w:val="nil"/>
          <w:right w:space="0" w:sz="0" w:val="nil"/>
          <w:between w:space="0" w:sz="0" w:val="nil"/>
        </w:pBdr>
        <w:spacing w:before="20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Data przekazania wniosku do MW (po 1 zmianie MW)</w:t>
      </w:r>
    </w:p>
    <w:p w:rsidR="00000000" w:rsidDel="00000000" w:rsidP="00000000" w:rsidRDefault="00000000" w:rsidRPr="00000000" w14:paraId="000000C0">
      <w:pPr>
        <w:spacing w:after="200" w:lineRule="auto"/>
        <w:ind w:left="720" w:firstLine="0"/>
        <w:jc w:val="both"/>
        <w:rPr/>
      </w:pPr>
      <w:r w:rsidDel="00000000" w:rsidR="00000000" w:rsidRPr="00000000">
        <w:rPr>
          <w:rFonts w:ascii="Times New Roman" w:cs="Times New Roman" w:eastAsia="Times New Roman" w:hAnsi="Times New Roman"/>
          <w:sz w:val="24"/>
          <w:szCs w:val="24"/>
          <w:rtl w:val="0"/>
        </w:rPr>
        <w:t xml:space="preserve">Pole tekstowe. Kolumna zawiera datę oraz oznaczenie (skrót nazwy) ministra właściwego, który po nieuznaniu właściwości przez pierwszego MW jako kolejny otrzymuje wniosek do rozpatrywania. Pole może zawierać wartości puste.</w:t>
      </w:r>
      <w:r w:rsidDel="00000000" w:rsidR="00000000" w:rsidRPr="00000000">
        <w:rPr>
          <w:rtl w:val="0"/>
        </w:rPr>
      </w:r>
    </w:p>
    <w:p w:rsidR="00000000" w:rsidDel="00000000" w:rsidP="00000000" w:rsidRDefault="00000000" w:rsidRPr="00000000" w14:paraId="000000C1">
      <w:pPr>
        <w:numPr>
          <w:ilvl w:val="0"/>
          <w:numId w:val="21"/>
        </w:numPr>
        <w:pBdr>
          <w:top w:space="0" w:sz="0" w:val="nil"/>
          <w:left w:space="0" w:sz="0" w:val="nil"/>
          <w:bottom w:space="0" w:sz="0" w:val="nil"/>
          <w:right w:space="0" w:sz="0" w:val="nil"/>
          <w:between w:space="0" w:sz="0" w:val="nil"/>
        </w:pBdr>
        <w:spacing w:before="20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Data przekazania wniosku do MW (po 2 zmianie MW)</w:t>
      </w:r>
    </w:p>
    <w:p w:rsidR="00000000" w:rsidDel="00000000" w:rsidP="00000000" w:rsidRDefault="00000000" w:rsidRPr="00000000" w14:paraId="000000C2">
      <w:pPr>
        <w:spacing w:after="200" w:lineRule="auto"/>
        <w:ind w:left="720" w:firstLine="0"/>
        <w:jc w:val="both"/>
        <w:rPr/>
      </w:pPr>
      <w:r w:rsidDel="00000000" w:rsidR="00000000" w:rsidRPr="00000000">
        <w:rPr>
          <w:rFonts w:ascii="Times New Roman" w:cs="Times New Roman" w:eastAsia="Times New Roman" w:hAnsi="Times New Roman"/>
          <w:sz w:val="24"/>
          <w:szCs w:val="24"/>
          <w:rtl w:val="0"/>
        </w:rPr>
        <w:t xml:space="preserve">Pole tekstowe. Kolumna zawiera datę oraz oznaczenie (skrót nazwy) ministra właściwego, po rozstrzygnięciu właściwości przez MK ZSK. Pole może zawierać wartości puste.</w:t>
      </w:r>
      <w:r w:rsidDel="00000000" w:rsidR="00000000" w:rsidRPr="00000000">
        <w:rPr>
          <w:rtl w:val="0"/>
        </w:rPr>
      </w:r>
    </w:p>
    <w:p w:rsidR="00000000" w:rsidDel="00000000" w:rsidP="00000000" w:rsidRDefault="00000000" w:rsidRPr="00000000" w14:paraId="000000C3">
      <w:pPr>
        <w:numPr>
          <w:ilvl w:val="0"/>
          <w:numId w:val="21"/>
        </w:numPr>
        <w:pBdr>
          <w:top w:space="0" w:sz="0" w:val="nil"/>
          <w:left w:space="0" w:sz="0" w:val="nil"/>
          <w:bottom w:space="0" w:sz="0" w:val="nil"/>
          <w:right w:space="0" w:sz="0" w:val="nil"/>
          <w:between w:space="0" w:sz="0" w:val="nil"/>
        </w:pBdr>
        <w:spacing w:before="20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Data przekazania wniosku do MW (po 3 zmianie MW)</w:t>
      </w:r>
    </w:p>
    <w:p w:rsidR="00000000" w:rsidDel="00000000" w:rsidP="00000000" w:rsidRDefault="00000000" w:rsidRPr="00000000" w14:paraId="000000C4">
      <w:pPr>
        <w:spacing w:after="200" w:lineRule="auto"/>
        <w:ind w:left="720" w:firstLine="0"/>
        <w:jc w:val="both"/>
        <w:rPr/>
      </w:pPr>
      <w:r w:rsidDel="00000000" w:rsidR="00000000" w:rsidRPr="00000000">
        <w:rPr>
          <w:rFonts w:ascii="Times New Roman" w:cs="Times New Roman" w:eastAsia="Times New Roman" w:hAnsi="Times New Roman"/>
          <w:sz w:val="24"/>
          <w:szCs w:val="24"/>
          <w:rtl w:val="0"/>
        </w:rPr>
        <w:t xml:space="preserve">Pole tekstowe. Kolumna zawiera datę oraz oznaczenie (skrót nazwy) ministra właściwego, po rozstrzygnięciu właściwości przez RCL. Pole może zawierać wartości puste.</w:t>
      </w:r>
      <w:r w:rsidDel="00000000" w:rsidR="00000000" w:rsidRPr="00000000">
        <w:rPr>
          <w:rtl w:val="0"/>
        </w:rPr>
      </w:r>
    </w:p>
    <w:p w:rsidR="00000000" w:rsidDel="00000000" w:rsidP="00000000" w:rsidRDefault="00000000" w:rsidRPr="00000000" w14:paraId="000000C5">
      <w:pPr>
        <w:numPr>
          <w:ilvl w:val="0"/>
          <w:numId w:val="21"/>
        </w:numPr>
        <w:pBdr>
          <w:top w:space="0" w:sz="0" w:val="nil"/>
          <w:left w:space="0" w:sz="0" w:val="nil"/>
          <w:bottom w:space="0" w:sz="0" w:val="nil"/>
          <w:right w:space="0" w:sz="0" w:val="nil"/>
          <w:between w:space="0" w:sz="0" w:val="nil"/>
        </w:pBdr>
        <w:spacing w:before="20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Status wniosku</w:t>
      </w:r>
    </w:p>
    <w:p w:rsidR="00000000" w:rsidDel="00000000" w:rsidP="00000000" w:rsidRDefault="00000000" w:rsidRPr="00000000" w14:paraId="000000C6">
      <w:pPr>
        <w:pBdr>
          <w:top w:space="0" w:sz="0" w:val="nil"/>
          <w:left w:space="0" w:sz="0" w:val="nil"/>
          <w:bottom w:space="0" w:sz="0" w:val="nil"/>
          <w:right w:space="0" w:sz="0" w:val="nil"/>
          <w:between w:space="0" w:sz="0" w:val="nil"/>
        </w:pBdr>
        <w:spacing w:after="20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Pole tekstowe. Kolumna przyjmuje wartość wybieraną podstawie słownika - tabela “Lista statusów”.</w:t>
      </w:r>
    </w:p>
    <w:p w:rsidR="00000000" w:rsidDel="00000000" w:rsidP="00000000" w:rsidRDefault="00000000" w:rsidRPr="00000000" w14:paraId="000000C7">
      <w:pPr>
        <w:pBdr>
          <w:top w:space="0" w:sz="0" w:val="nil"/>
          <w:left w:space="0" w:sz="0" w:val="nil"/>
          <w:bottom w:space="0" w:sz="0" w:val="nil"/>
          <w:right w:space="0" w:sz="0" w:val="nil"/>
          <w:between w:space="0" w:sz="0" w:val="nil"/>
        </w:pBdr>
        <w:spacing w:after="20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Lista statusów może ulegać zmianom lub rozszerzeniom.</w:t>
      </w:r>
    </w:p>
    <w:p w:rsidR="00000000" w:rsidDel="00000000" w:rsidP="00000000" w:rsidRDefault="00000000" w:rsidRPr="00000000" w14:paraId="000000C8">
      <w:pPr>
        <w:numPr>
          <w:ilvl w:val="0"/>
          <w:numId w:val="21"/>
        </w:numPr>
        <w:pBdr>
          <w:top w:space="0" w:sz="0" w:val="nil"/>
          <w:left w:space="0" w:sz="0" w:val="nil"/>
          <w:bottom w:space="0" w:sz="0" w:val="nil"/>
          <w:right w:space="0" w:sz="0" w:val="nil"/>
          <w:between w:space="0" w:sz="0" w:val="nil"/>
        </w:pBdr>
        <w:spacing w:before="20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Data włączenia kwalifikacji do ZSK</w:t>
      </w:r>
    </w:p>
    <w:p w:rsidR="00000000" w:rsidDel="00000000" w:rsidP="00000000" w:rsidRDefault="00000000" w:rsidRPr="00000000" w14:paraId="000000C9">
      <w:pPr>
        <w:pBdr>
          <w:top w:space="0" w:sz="0" w:val="nil"/>
          <w:left w:space="0" w:sz="0" w:val="nil"/>
          <w:bottom w:space="0" w:sz="0" w:val="nil"/>
          <w:right w:space="0" w:sz="0" w:val="nil"/>
          <w:between w:space="0" w:sz="0" w:val="nil"/>
        </w:pBdr>
        <w:spacing w:after="20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Pole typu data. </w:t>
      </w:r>
    </w:p>
    <w:p w:rsidR="00000000" w:rsidDel="00000000" w:rsidP="00000000" w:rsidRDefault="00000000" w:rsidRPr="00000000" w14:paraId="000000CA">
      <w:pPr>
        <w:numPr>
          <w:ilvl w:val="0"/>
          <w:numId w:val="21"/>
        </w:numPr>
        <w:pBdr>
          <w:top w:space="0" w:sz="0" w:val="nil"/>
          <w:left w:space="0" w:sz="0" w:val="nil"/>
          <w:bottom w:space="0" w:sz="0" w:val="nil"/>
          <w:right w:space="0" w:sz="0" w:val="nil"/>
          <w:between w:space="0" w:sz="0" w:val="nil"/>
        </w:pBdr>
        <w:spacing w:before="20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Komentarz</w:t>
      </w:r>
    </w:p>
    <w:p w:rsidR="00000000" w:rsidDel="00000000" w:rsidP="00000000" w:rsidRDefault="00000000" w:rsidRPr="00000000" w14:paraId="000000CB">
      <w:pPr>
        <w:pBdr>
          <w:top w:space="0" w:sz="0" w:val="nil"/>
          <w:left w:space="0" w:sz="0" w:val="nil"/>
          <w:bottom w:space="0" w:sz="0" w:val="nil"/>
          <w:right w:space="0" w:sz="0" w:val="nil"/>
          <w:between w:space="0" w:sz="0" w:val="nil"/>
        </w:pBdr>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Pole tekstowe. W kolumnie mogą znajdować się informacje, takie jak: </w:t>
      </w:r>
    </w:p>
    <w:p w:rsidR="00000000" w:rsidDel="00000000" w:rsidP="00000000" w:rsidRDefault="00000000" w:rsidRPr="00000000" w14:paraId="000000CC">
      <w:pPr>
        <w:numPr>
          <w:ilvl w:val="0"/>
          <w:numId w:val="3"/>
        </w:numPr>
        <w:pBdr>
          <w:top w:space="0" w:sz="0" w:val="nil"/>
          <w:left w:space="0" w:sz="0" w:val="nil"/>
          <w:bottom w:space="0" w:sz="0" w:val="nil"/>
          <w:right w:space="0" w:sz="0" w:val="nil"/>
          <w:between w:space="0" w:sz="0" w:val="nil"/>
        </w:pBdr>
        <w:ind w:left="144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korespondencji z MW, </w:t>
      </w:r>
    </w:p>
    <w:p w:rsidR="00000000" w:rsidDel="00000000" w:rsidP="00000000" w:rsidRDefault="00000000" w:rsidRPr="00000000" w14:paraId="000000CD">
      <w:pPr>
        <w:numPr>
          <w:ilvl w:val="0"/>
          <w:numId w:val="3"/>
        </w:numPr>
        <w:pBdr>
          <w:top w:space="0" w:sz="0" w:val="nil"/>
          <w:left w:space="0" w:sz="0" w:val="nil"/>
          <w:bottom w:space="0" w:sz="0" w:val="nil"/>
          <w:right w:space="0" w:sz="0" w:val="nil"/>
          <w:between w:space="0" w:sz="0" w:val="nil"/>
        </w:pBdr>
        <w:ind w:left="144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szczegółowo opisana sytuacja, w jakiej znajduje się wniosek, </w:t>
      </w:r>
    </w:p>
    <w:p w:rsidR="00000000" w:rsidDel="00000000" w:rsidP="00000000" w:rsidRDefault="00000000" w:rsidRPr="00000000" w14:paraId="000000CE">
      <w:pPr>
        <w:numPr>
          <w:ilvl w:val="0"/>
          <w:numId w:val="3"/>
        </w:numPr>
        <w:pBdr>
          <w:top w:space="0" w:sz="0" w:val="nil"/>
          <w:left w:space="0" w:sz="0" w:val="nil"/>
          <w:bottom w:space="0" w:sz="0" w:val="nil"/>
          <w:right w:space="0" w:sz="0" w:val="nil"/>
          <w:between w:space="0" w:sz="0" w:val="nil"/>
        </w:pBdr>
        <w:ind w:left="144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problemy z rozpatrywaniem, </w:t>
      </w:r>
    </w:p>
    <w:p w:rsidR="00000000" w:rsidDel="00000000" w:rsidP="00000000" w:rsidRDefault="00000000" w:rsidRPr="00000000" w14:paraId="000000CF">
      <w:pPr>
        <w:numPr>
          <w:ilvl w:val="0"/>
          <w:numId w:val="3"/>
        </w:numPr>
        <w:pBdr>
          <w:top w:space="0" w:sz="0" w:val="nil"/>
          <w:left w:space="0" w:sz="0" w:val="nil"/>
          <w:bottom w:space="0" w:sz="0" w:val="nil"/>
          <w:right w:space="0" w:sz="0" w:val="nil"/>
          <w:between w:space="0" w:sz="0" w:val="nil"/>
        </w:pBdr>
        <w:ind w:left="144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dane o podmiotach wnioskujących o uprawnienia IC itp, </w:t>
      </w:r>
    </w:p>
    <w:p w:rsidR="00000000" w:rsidDel="00000000" w:rsidP="00000000" w:rsidRDefault="00000000" w:rsidRPr="00000000" w14:paraId="000000D0">
      <w:pPr>
        <w:numPr>
          <w:ilvl w:val="0"/>
          <w:numId w:val="3"/>
        </w:numPr>
        <w:pBdr>
          <w:top w:space="0" w:sz="0" w:val="nil"/>
          <w:left w:space="0" w:sz="0" w:val="nil"/>
          <w:bottom w:space="0" w:sz="0" w:val="nil"/>
          <w:right w:space="0" w:sz="0" w:val="nil"/>
          <w:between w:space="0" w:sz="0" w:val="nil"/>
        </w:pBdr>
        <w:spacing w:after="200" w:lineRule="auto"/>
        <w:ind w:left="144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w przypadku włączonej kwalifikacji - widoczny komentarz o Statusie i dalsze informacje. </w:t>
      </w:r>
    </w:p>
    <w:p w:rsidR="00000000" w:rsidDel="00000000" w:rsidP="00000000" w:rsidRDefault="00000000" w:rsidRPr="00000000" w14:paraId="000000D1">
      <w:pPr>
        <w:pBdr>
          <w:top w:space="0" w:sz="0" w:val="nil"/>
          <w:left w:space="0" w:sz="0" w:val="nil"/>
          <w:bottom w:space="0" w:sz="0" w:val="nil"/>
          <w:right w:space="0" w:sz="0" w:val="nil"/>
          <w:between w:space="0" w:sz="0" w:val="nil"/>
        </w:pBdr>
        <w:spacing w:after="200"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Dane uzupełniane są podczas comiesięcznego monitoringu.</w:t>
      </w:r>
    </w:p>
    <w:p w:rsidR="00000000" w:rsidDel="00000000" w:rsidP="00000000" w:rsidRDefault="00000000" w:rsidRPr="00000000" w14:paraId="000000D2">
      <w:pPr>
        <w:pBdr>
          <w:top w:space="0" w:sz="0" w:val="nil"/>
          <w:left w:space="0" w:sz="0" w:val="nil"/>
          <w:bottom w:space="0" w:sz="0" w:val="nil"/>
          <w:right w:space="0" w:sz="0" w:val="nil"/>
          <w:between w:space="0" w:sz="0" w:val="nil"/>
        </w:pBdr>
        <w:spacing w:after="20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Szczegółowe informacje zawarte w kolumnie “Komentarz” są doprecyzowaniem i uzupełnieniem danych zawartych w rejestrze. Jest to jeden z kluczowych elementów wyróżniających funkcję Tabeli Monitorującej.</w:t>
      </w:r>
    </w:p>
    <w:p w:rsidR="00000000" w:rsidDel="00000000" w:rsidP="00000000" w:rsidRDefault="00000000" w:rsidRPr="00000000" w14:paraId="000000D3">
      <w:pPr>
        <w:numPr>
          <w:ilvl w:val="0"/>
          <w:numId w:val="21"/>
        </w:numPr>
        <w:pBdr>
          <w:top w:space="0" w:sz="0" w:val="nil"/>
          <w:left w:space="0" w:sz="0" w:val="nil"/>
          <w:bottom w:space="0" w:sz="0" w:val="nil"/>
          <w:right w:space="0" w:sz="0" w:val="nil"/>
          <w:between w:space="0" w:sz="0" w:val="nil"/>
        </w:pBdr>
        <w:spacing w:before="20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Projekt, do wskaźnika którego kwalifikacja została zaliczona</w:t>
      </w:r>
    </w:p>
    <w:p w:rsidR="00000000" w:rsidDel="00000000" w:rsidP="00000000" w:rsidRDefault="00000000" w:rsidRPr="00000000" w14:paraId="000000D4">
      <w:pPr>
        <w:spacing w:after="20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Pole tekstowe. Kolumna zawiera oznaczenie projektu. Obecnie brak słownika. </w:t>
      </w:r>
    </w:p>
    <w:p w:rsidR="00000000" w:rsidDel="00000000" w:rsidP="00000000" w:rsidRDefault="00000000" w:rsidRPr="00000000" w14:paraId="000000D5">
      <w:pPr>
        <w:numPr>
          <w:ilvl w:val="0"/>
          <w:numId w:val="21"/>
        </w:numPr>
        <w:pBdr>
          <w:top w:space="0" w:sz="0" w:val="nil"/>
          <w:left w:space="0" w:sz="0" w:val="nil"/>
          <w:bottom w:space="0" w:sz="0" w:val="nil"/>
          <w:right w:space="0" w:sz="0" w:val="nil"/>
          <w:between w:space="0" w:sz="0" w:val="nil"/>
        </w:pBdr>
        <w:spacing w:before="20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Rekomendacje/zidentyfikowane problemy</w:t>
      </w:r>
    </w:p>
    <w:p w:rsidR="00000000" w:rsidDel="00000000" w:rsidP="00000000" w:rsidRDefault="00000000" w:rsidRPr="00000000" w14:paraId="000000D6">
      <w:pPr>
        <w:pBdr>
          <w:top w:space="0" w:sz="0" w:val="nil"/>
          <w:left w:space="0" w:sz="0" w:val="nil"/>
          <w:bottom w:space="0" w:sz="0" w:val="nil"/>
          <w:right w:space="0" w:sz="0" w:val="nil"/>
          <w:between w:space="0" w:sz="0" w:val="nil"/>
        </w:pBdr>
        <w:spacing w:after="20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Pole tekstowe. Kolumna zawiera uwagi o różnej treści związane z proponowanymi formami wsparcia przez pracowników IBE lub możliwymi krokami do podjęcia przez kierownictwo lub pracowników IBE. </w:t>
      </w:r>
    </w:p>
    <w:p w:rsidR="00000000" w:rsidDel="00000000" w:rsidP="00000000" w:rsidRDefault="00000000" w:rsidRPr="00000000" w14:paraId="000000D7">
      <w:pPr>
        <w:pBdr>
          <w:top w:space="0" w:sz="0" w:val="nil"/>
          <w:left w:space="0" w:sz="0" w:val="nil"/>
          <w:bottom w:space="0" w:sz="0" w:val="nil"/>
          <w:right w:space="0" w:sz="0" w:val="nil"/>
          <w:between w:space="0" w:sz="0" w:val="nil"/>
        </w:pBdr>
        <w:spacing w:after="20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Obecnie dla tego pola brak słownika, jednak ze względu na powtarzalność form wsparcia, które może być udzielane w związku z procedowaniem wniosku o włączenie kwalifikacji do ZSK, możliwe byłoby stworzenie słownika zawierającego podpowiedzi ułatwiające wypełnianie tego pola.</w:t>
      </w:r>
    </w:p>
    <w:p w:rsidR="00000000" w:rsidDel="00000000" w:rsidP="00000000" w:rsidRDefault="00000000" w:rsidRPr="00000000" w14:paraId="000000D8">
      <w:pPr>
        <w:numPr>
          <w:ilvl w:val="0"/>
          <w:numId w:val="21"/>
        </w:numPr>
        <w:pBdr>
          <w:top w:space="0" w:sz="0" w:val="nil"/>
          <w:left w:space="0" w:sz="0" w:val="nil"/>
          <w:bottom w:space="0" w:sz="0" w:val="nil"/>
          <w:right w:space="0" w:sz="0" w:val="nil"/>
          <w:between w:space="0" w:sz="0" w:val="nil"/>
        </w:pBdr>
        <w:spacing w:before="20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Branża</w:t>
      </w:r>
    </w:p>
    <w:p w:rsidR="00000000" w:rsidDel="00000000" w:rsidP="00000000" w:rsidRDefault="00000000" w:rsidRPr="00000000" w14:paraId="000000D9">
      <w:pPr>
        <w:pBdr>
          <w:top w:space="0" w:sz="0" w:val="nil"/>
          <w:left w:space="0" w:sz="0" w:val="nil"/>
          <w:bottom w:space="0" w:sz="0" w:val="nil"/>
          <w:right w:space="0" w:sz="0" w:val="nil"/>
          <w:between w:space="0" w:sz="0" w:val="nil"/>
        </w:pBdr>
        <w:spacing w:after="20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Pole tekstowe. Zawiera określenie branży, do jakiej należy dana kwalifikacja. Pole uzupełniane na podstawie informacji zawartych w ZRK.</w:t>
      </w:r>
    </w:p>
    <w:p w:rsidR="00000000" w:rsidDel="00000000" w:rsidP="00000000" w:rsidRDefault="00000000" w:rsidRPr="00000000" w14:paraId="000000DA">
      <w:pPr>
        <w:numPr>
          <w:ilvl w:val="0"/>
          <w:numId w:val="21"/>
        </w:numPr>
        <w:pBdr>
          <w:top w:space="0" w:sz="0" w:val="nil"/>
          <w:left w:space="0" w:sz="0" w:val="nil"/>
          <w:bottom w:space="0" w:sz="0" w:val="nil"/>
          <w:right w:space="0" w:sz="0" w:val="nil"/>
          <w:between w:space="0" w:sz="0" w:val="nil"/>
        </w:pBdr>
        <w:spacing w:before="20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Grupa PZZJ</w:t>
      </w:r>
    </w:p>
    <w:p w:rsidR="00000000" w:rsidDel="00000000" w:rsidP="00000000" w:rsidRDefault="00000000" w:rsidRPr="00000000" w14:paraId="000000DB">
      <w:pPr>
        <w:pBdr>
          <w:top w:space="0" w:sz="0" w:val="nil"/>
          <w:left w:space="0" w:sz="0" w:val="nil"/>
          <w:bottom w:space="0" w:sz="0" w:val="nil"/>
          <w:right w:space="0" w:sz="0" w:val="nil"/>
          <w:between w:space="0" w:sz="0" w:val="nil"/>
        </w:pBdr>
        <w:spacing w:before="20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Pole tekstowe. Zawiera informacje stanowiące uszczegółowienie działów administracji rządowej w celu przyporządkowania PZZJ z listy oraz uzupełnienie naboru na listę PZZJ. Nie dla wszystkich grup są obecnie wyłonione PZZJ.</w:t>
      </w:r>
    </w:p>
    <w:p w:rsidR="00000000" w:rsidDel="00000000" w:rsidP="00000000" w:rsidRDefault="00000000" w:rsidRPr="00000000" w14:paraId="000000DC">
      <w:pPr>
        <w:pBdr>
          <w:top w:space="0" w:sz="0" w:val="nil"/>
          <w:left w:space="0" w:sz="0" w:val="nil"/>
          <w:bottom w:space="0" w:sz="0" w:val="nil"/>
          <w:right w:space="0" w:sz="0" w:val="nil"/>
          <w:between w:space="0" w:sz="0" w:val="nil"/>
        </w:pBdr>
        <w:spacing w:before="20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Pole uzupełniane na podstawie informacji zawartych w ZRK.</w:t>
      </w:r>
    </w:p>
    <w:p w:rsidR="00000000" w:rsidDel="00000000" w:rsidP="00000000" w:rsidRDefault="00000000" w:rsidRPr="00000000" w14:paraId="000000DD">
      <w:pPr>
        <w:pBdr>
          <w:top w:space="0" w:sz="0" w:val="nil"/>
          <w:left w:space="0" w:sz="0" w:val="nil"/>
          <w:bottom w:space="0" w:sz="0" w:val="nil"/>
          <w:right w:space="0" w:sz="0" w:val="nil"/>
          <w:between w:space="0" w:sz="0" w:val="nil"/>
        </w:pBdr>
        <w:spacing w:after="200" w:before="20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Aktualnie tabela posiada ok. 300 wierszy. Wiersz zawiera dane dotyczące jednego wniosku/kwalifikacji. W ostatnich trzech latach roczny przyrost liczby wierszy wynosi ok. 30. Dane w poszczególnych kolumnach poszczególnych wierszy mogą być aktualizowane (np. zmiana ministra właściwego dla danej kwalifikacji, zmiana statusu wniosku, zmiana danych urzędnika odpowiedzialnego, a nawet zmiana nazwy kwalifikacji).</w:t>
      </w:r>
    </w:p>
    <w:p w:rsidR="00000000" w:rsidDel="00000000" w:rsidP="00000000" w:rsidRDefault="00000000" w:rsidRPr="00000000" w14:paraId="000000DE">
      <w:pPr>
        <w:pStyle w:val="Heading3"/>
        <w:numPr>
          <w:ilvl w:val="2"/>
          <w:numId w:val="22"/>
        </w:numPr>
        <w:pBdr>
          <w:top w:space="0" w:sz="0" w:val="nil"/>
          <w:left w:space="0" w:sz="0" w:val="nil"/>
          <w:bottom w:space="0" w:sz="0" w:val="nil"/>
          <w:right w:space="0" w:sz="0" w:val="nil"/>
          <w:between w:space="0" w:sz="0" w:val="nil"/>
        </w:pBdr>
        <w:spacing w:after="240" w:before="200" w:lineRule="auto"/>
        <w:ind w:left="566" w:hanging="141"/>
        <w:jc w:val="both"/>
        <w:rPr/>
      </w:pPr>
      <w:bookmarkStart w:colFirst="0" w:colLast="0" w:name="_heading=h.3znysh7" w:id="3"/>
      <w:bookmarkEnd w:id="3"/>
      <w:r w:rsidDel="00000000" w:rsidR="00000000" w:rsidRPr="00000000">
        <w:rPr>
          <w:rtl w:val="0"/>
        </w:rPr>
        <w:t xml:space="preserve">Tabela “Lista kwalifikacje funkcjonujące, umowa z PZZJ”</w:t>
      </w:r>
    </w:p>
    <w:p w:rsidR="00000000" w:rsidDel="00000000" w:rsidP="00000000" w:rsidRDefault="00000000" w:rsidRPr="00000000" w14:paraId="000000DF">
      <w:pPr>
        <w:pBdr>
          <w:top w:space="0" w:sz="0" w:val="nil"/>
          <w:left w:space="0" w:sz="0" w:val="nil"/>
          <w:bottom w:space="0" w:sz="0" w:val="nil"/>
          <w:right w:space="0" w:sz="0" w:val="nil"/>
          <w:between w:space="0" w:sz="0" w:val="nil"/>
        </w:pBdr>
        <w:spacing w:after="200" w:before="20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Tabela składa się z 19 kolumn:</w:t>
      </w:r>
    </w:p>
    <w:p w:rsidR="00000000" w:rsidDel="00000000" w:rsidP="00000000" w:rsidRDefault="00000000" w:rsidRPr="00000000" w14:paraId="000000E0">
      <w:pPr>
        <w:numPr>
          <w:ilvl w:val="0"/>
          <w:numId w:val="11"/>
        </w:numPr>
        <w:pBdr>
          <w:top w:space="0" w:sz="0" w:val="nil"/>
          <w:left w:space="0" w:sz="0" w:val="nil"/>
          <w:bottom w:space="0" w:sz="0" w:val="nil"/>
          <w:right w:space="0" w:sz="0" w:val="nil"/>
          <w:between w:space="0" w:sz="0" w:val="nil"/>
        </w:pBdr>
        <w:spacing w:before="20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Minister właściwy</w:t>
      </w:r>
    </w:p>
    <w:p w:rsidR="00000000" w:rsidDel="00000000" w:rsidP="00000000" w:rsidRDefault="00000000" w:rsidRPr="00000000" w14:paraId="000000E1">
      <w:pPr>
        <w:pBdr>
          <w:top w:space="0" w:sz="0" w:val="nil"/>
          <w:left w:space="0" w:sz="0" w:val="nil"/>
          <w:bottom w:space="0" w:sz="0" w:val="nil"/>
          <w:right w:space="0" w:sz="0" w:val="nil"/>
          <w:between w:space="0" w:sz="0" w:val="nil"/>
        </w:pBdr>
        <w:spacing w:after="20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Pole tekstowe. Kolumna zawiera nazwę ministra właściwego. Obecnie brak słownika.</w:t>
      </w:r>
    </w:p>
    <w:p w:rsidR="00000000" w:rsidDel="00000000" w:rsidP="00000000" w:rsidRDefault="00000000" w:rsidRPr="00000000" w14:paraId="000000E2">
      <w:pPr>
        <w:numPr>
          <w:ilvl w:val="0"/>
          <w:numId w:val="11"/>
        </w:numPr>
        <w:spacing w:before="20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Projekt, w ramach którego podmiot skorzystał ze wsparcia IBE</w:t>
      </w:r>
    </w:p>
    <w:p w:rsidR="00000000" w:rsidDel="00000000" w:rsidP="00000000" w:rsidRDefault="00000000" w:rsidRPr="00000000" w14:paraId="000000E3">
      <w:pPr>
        <w:spacing w:after="20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Pole tekstowe. Kolumna zawiera oznaczenie projektu. Uzupełniana na podstawie słownika - tabela “Słownik wskaźnika projektów ZSK”.</w:t>
      </w:r>
    </w:p>
    <w:p w:rsidR="00000000" w:rsidDel="00000000" w:rsidP="00000000" w:rsidRDefault="00000000" w:rsidRPr="00000000" w14:paraId="000000E4">
      <w:pPr>
        <w:numPr>
          <w:ilvl w:val="0"/>
          <w:numId w:val="11"/>
        </w:numPr>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Kategoria kwalifikacji </w:t>
      </w:r>
    </w:p>
    <w:p w:rsidR="00000000" w:rsidDel="00000000" w:rsidP="00000000" w:rsidRDefault="00000000" w:rsidRPr="00000000" w14:paraId="000000E5">
      <w:pPr>
        <w:spacing w:after="20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Pole tekstowe. Kolumna zawiera nazwę kategorii kwalifikacji cząstkowych  spoza systemu oświaty i szkolnictwa wyższego zgodnie z obowiązującymi zapisami ustawy o ZSK np. wolnorynkowe i sektorowe, uregulowane, rzemieślnicze. Obecnie wyróżnia się kwalifikacje wolnorynkowe i sektorowe.</w:t>
      </w:r>
    </w:p>
    <w:p w:rsidR="00000000" w:rsidDel="00000000" w:rsidP="00000000" w:rsidRDefault="00000000" w:rsidRPr="00000000" w14:paraId="000000E6">
      <w:pPr>
        <w:numPr>
          <w:ilvl w:val="0"/>
          <w:numId w:val="11"/>
        </w:numPr>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Nazwa kwalifikacji</w:t>
      </w:r>
    </w:p>
    <w:p w:rsidR="00000000" w:rsidDel="00000000" w:rsidP="00000000" w:rsidRDefault="00000000" w:rsidRPr="00000000" w14:paraId="000000E7">
      <w:pPr>
        <w:spacing w:after="20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Pole tekstowe. Kolumna zawiera nazwę kwalifikacji.</w:t>
      </w:r>
    </w:p>
    <w:p w:rsidR="00000000" w:rsidDel="00000000" w:rsidP="00000000" w:rsidRDefault="00000000" w:rsidRPr="00000000" w14:paraId="000000E8">
      <w:pPr>
        <w:numPr>
          <w:ilvl w:val="0"/>
          <w:numId w:val="11"/>
        </w:numPr>
        <w:spacing w:before="20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Wnioskodawca</w:t>
      </w:r>
    </w:p>
    <w:p w:rsidR="00000000" w:rsidDel="00000000" w:rsidP="00000000" w:rsidRDefault="00000000" w:rsidRPr="00000000" w14:paraId="000000E9">
      <w:pPr>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Pole tekstowe. Kolumna zawiera nazwę podmiotu wnioskującego o włączenie kwalifikacji do ZSK. </w:t>
      </w:r>
    </w:p>
    <w:p w:rsidR="00000000" w:rsidDel="00000000" w:rsidP="00000000" w:rsidRDefault="00000000" w:rsidRPr="00000000" w14:paraId="000000EA">
      <w:pPr>
        <w:numPr>
          <w:ilvl w:val="0"/>
          <w:numId w:val="11"/>
        </w:numPr>
        <w:spacing w:before="20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Tryb włączania (stary tryb do 31.12.2023 lub nowy tryb od 1.01.2024)</w:t>
      </w:r>
    </w:p>
    <w:p w:rsidR="00000000" w:rsidDel="00000000" w:rsidP="00000000" w:rsidRDefault="00000000" w:rsidRPr="00000000" w14:paraId="000000EB">
      <w:pPr>
        <w:shd w:fill="ffffff" w:val="clear"/>
        <w:spacing w:after="200" w:lineRule="auto"/>
        <w:ind w:left="720" w:firstLine="0"/>
        <w:jc w:val="both"/>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W związku ze zmianami w ustawie o ZSK, wnioski o włączenie do ZSK kwalifikacji rynkowych, które do 31.12.2023 r. zostały przedłożone do konsultacji z zainteresowanymi środowiskami - są rozpatrywane w trybie dotychczasowym (roboczo nazwany “starym trybem”).</w:t>
      </w:r>
    </w:p>
    <w:p w:rsidR="00000000" w:rsidDel="00000000" w:rsidP="00000000" w:rsidRDefault="00000000" w:rsidRPr="00000000" w14:paraId="000000EC">
      <w:pPr>
        <w:shd w:fill="ffffff" w:val="clear"/>
        <w:spacing w:after="200" w:before="200" w:lineRule="auto"/>
        <w:ind w:left="720" w:firstLine="0"/>
        <w:jc w:val="both"/>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Wnioski, które trafiły do ministerstw przed 31.12.2023 r., ale nie zostały przedłożone do konsultacji z zainteresowanymi środowiskami, zgodnie z przepisami przejściowymi - zostały zwrócone do wnioskodawców. Część z nich już złożyła wnioski powtórnie. Zarówno powtórnie złożone wnioski, jak i nowe wnioski złożone po 1.01.2024 są rozpatrywane zgodnie z nowymi przepisami ustawowymi (“nowy tryb”). </w:t>
      </w:r>
    </w:p>
    <w:p w:rsidR="00000000" w:rsidDel="00000000" w:rsidP="00000000" w:rsidRDefault="00000000" w:rsidRPr="00000000" w14:paraId="000000ED">
      <w:pPr>
        <w:shd w:fill="ffffff" w:val="clear"/>
        <w:spacing w:after="200" w:before="20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222222"/>
          <w:sz w:val="24"/>
          <w:szCs w:val="24"/>
          <w:rtl w:val="0"/>
        </w:rPr>
        <w:t xml:space="preserve">Tabela Monitorująca obejmuje oba tryby włączania kwalifikacji.</w:t>
      </w:r>
      <w:r w:rsidDel="00000000" w:rsidR="00000000" w:rsidRPr="00000000">
        <w:rPr>
          <w:rtl w:val="0"/>
        </w:rPr>
      </w:r>
    </w:p>
    <w:p w:rsidR="00000000" w:rsidDel="00000000" w:rsidP="00000000" w:rsidRDefault="00000000" w:rsidRPr="00000000" w14:paraId="000000EE">
      <w:pPr>
        <w:numPr>
          <w:ilvl w:val="0"/>
          <w:numId w:val="11"/>
        </w:numPr>
        <w:pBdr>
          <w:top w:space="0" w:sz="0" w:val="nil"/>
          <w:left w:space="0" w:sz="0" w:val="nil"/>
          <w:bottom w:space="0" w:sz="0" w:val="nil"/>
          <w:right w:space="0" w:sz="0" w:val="nil"/>
          <w:between w:space="0" w:sz="0" w:val="nil"/>
        </w:pBdr>
        <w:spacing w:before="20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Koordynator w ministerstwie rozpatrującym wniosek</w:t>
      </w:r>
    </w:p>
    <w:p w:rsidR="00000000" w:rsidDel="00000000" w:rsidP="00000000" w:rsidRDefault="00000000" w:rsidRPr="00000000" w14:paraId="000000EF">
      <w:pPr>
        <w:spacing w:after="20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Pole tekstowe. Kolumna zawiera nazwę departamentu w ministerstwie oraz imię i nazwisko dyrektora, zastępcy dyrektora, dane kontaktowe (e-mail, numer telefonu).</w:t>
      </w:r>
    </w:p>
    <w:p w:rsidR="00000000" w:rsidDel="00000000" w:rsidP="00000000" w:rsidRDefault="00000000" w:rsidRPr="00000000" w14:paraId="000000F0">
      <w:pPr>
        <w:numPr>
          <w:ilvl w:val="0"/>
          <w:numId w:val="11"/>
        </w:numPr>
        <w:spacing w:before="20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Urzędnik odpowiedzialny</w:t>
      </w:r>
    </w:p>
    <w:p w:rsidR="00000000" w:rsidDel="00000000" w:rsidP="00000000" w:rsidRDefault="00000000" w:rsidRPr="00000000" w14:paraId="000000F1">
      <w:pPr>
        <w:spacing w:after="20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Pole tekstowe. Kolumna zawiera dane urzędnika odpowiedzialnego: imię i nazwisko, dane kontaktowe (e-mail, numer telefonu). Wpisy w poszczególnych polach mogą zawierać dane więcej niż jednego urzędnika odpowiedzialnego.</w:t>
      </w:r>
    </w:p>
    <w:p w:rsidR="00000000" w:rsidDel="00000000" w:rsidP="00000000" w:rsidRDefault="00000000" w:rsidRPr="00000000" w14:paraId="000000F2">
      <w:pPr>
        <w:numPr>
          <w:ilvl w:val="0"/>
          <w:numId w:val="11"/>
        </w:numPr>
        <w:spacing w:before="20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Wniosek w trakcie oceny merytorycznej TAK/NIE </w:t>
      </w:r>
    </w:p>
    <w:p w:rsidR="00000000" w:rsidDel="00000000" w:rsidP="00000000" w:rsidRDefault="00000000" w:rsidRPr="00000000" w14:paraId="000000F3">
      <w:pPr>
        <w:spacing w:after="20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Pole tekstowe. Wartość domyślna NIE. Wynika to z przenoszenia rekordów z tabeli “</w:t>
      </w:r>
      <w:r w:rsidDel="00000000" w:rsidR="00000000" w:rsidRPr="00000000">
        <w:rPr>
          <w:rFonts w:ascii="Times New Roman" w:cs="Times New Roman" w:eastAsia="Times New Roman" w:hAnsi="Times New Roman"/>
          <w:color w:val="222222"/>
          <w:sz w:val="24"/>
          <w:szCs w:val="24"/>
          <w:rtl w:val="0"/>
        </w:rPr>
        <w:t xml:space="preserve">Lista - wnioski rozpatrywane” po uzyskaniu przez wniosek/kwalifikację </w:t>
      </w:r>
      <w:r w:rsidDel="00000000" w:rsidR="00000000" w:rsidRPr="00000000">
        <w:rPr>
          <w:rFonts w:ascii="Times New Roman" w:cs="Times New Roman" w:eastAsia="Times New Roman" w:hAnsi="Times New Roman"/>
          <w:sz w:val="24"/>
          <w:szCs w:val="24"/>
          <w:rtl w:val="0"/>
        </w:rPr>
        <w:t xml:space="preserve"> statusu 28. </w:t>
      </w:r>
    </w:p>
    <w:p w:rsidR="00000000" w:rsidDel="00000000" w:rsidP="00000000" w:rsidRDefault="00000000" w:rsidRPr="00000000" w14:paraId="000000F4">
      <w:pPr>
        <w:numPr>
          <w:ilvl w:val="0"/>
          <w:numId w:val="11"/>
        </w:numPr>
        <w:spacing w:before="20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Data złożenia wniosku w ZRK</w:t>
      </w:r>
    </w:p>
    <w:p w:rsidR="00000000" w:rsidDel="00000000" w:rsidP="00000000" w:rsidRDefault="00000000" w:rsidRPr="00000000" w14:paraId="000000F5">
      <w:pPr>
        <w:spacing w:after="20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Pole typu data.</w:t>
      </w:r>
    </w:p>
    <w:p w:rsidR="00000000" w:rsidDel="00000000" w:rsidP="00000000" w:rsidRDefault="00000000" w:rsidRPr="00000000" w14:paraId="000000F6">
      <w:pPr>
        <w:numPr>
          <w:ilvl w:val="0"/>
          <w:numId w:val="11"/>
        </w:numPr>
        <w:spacing w:before="20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Data włączenia kwalifikacji do ZSK</w:t>
      </w:r>
    </w:p>
    <w:p w:rsidR="00000000" w:rsidDel="00000000" w:rsidP="00000000" w:rsidRDefault="00000000" w:rsidRPr="00000000" w14:paraId="000000F7">
      <w:pPr>
        <w:spacing w:after="20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Pole typu data.</w:t>
      </w:r>
    </w:p>
    <w:p w:rsidR="00000000" w:rsidDel="00000000" w:rsidP="00000000" w:rsidRDefault="00000000" w:rsidRPr="00000000" w14:paraId="000000F8">
      <w:pPr>
        <w:numPr>
          <w:ilvl w:val="0"/>
          <w:numId w:val="11"/>
        </w:numPr>
        <w:spacing w:before="20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Status wniosku</w:t>
      </w:r>
    </w:p>
    <w:p w:rsidR="00000000" w:rsidDel="00000000" w:rsidP="00000000" w:rsidRDefault="00000000" w:rsidRPr="00000000" w14:paraId="000000F9">
      <w:pPr>
        <w:spacing w:after="20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Pole tekstowe. Kolumna uzupełniana na podstawie słownika - tabela “Lista statusów”. Obecnie wartość domyślna “28. kwalifikacja funkcjonująca w ZSK - umowa z PZZJ”.</w:t>
      </w:r>
    </w:p>
    <w:p w:rsidR="00000000" w:rsidDel="00000000" w:rsidP="00000000" w:rsidRDefault="00000000" w:rsidRPr="00000000" w14:paraId="000000FA">
      <w:pPr>
        <w:numPr>
          <w:ilvl w:val="0"/>
          <w:numId w:val="11"/>
        </w:numPr>
        <w:spacing w:before="20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Komentarz</w:t>
      </w:r>
    </w:p>
    <w:p w:rsidR="00000000" w:rsidDel="00000000" w:rsidP="00000000" w:rsidRDefault="00000000" w:rsidRPr="00000000" w14:paraId="000000FB">
      <w:pPr>
        <w:spacing w:after="20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Pole tekstowe. W kolumnie znajdują się informacje, czy kwalifikacja jest włączona, funkcjonująca; informacje o opublikowaniu obwieszczenia - data publikacji, inne.</w:t>
      </w:r>
    </w:p>
    <w:p w:rsidR="00000000" w:rsidDel="00000000" w:rsidP="00000000" w:rsidRDefault="00000000" w:rsidRPr="00000000" w14:paraId="000000FC">
      <w:pPr>
        <w:numPr>
          <w:ilvl w:val="0"/>
          <w:numId w:val="11"/>
        </w:numPr>
        <w:spacing w:before="20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Projekt, do wskaźnika którego kwalifikacja została zaliczona</w:t>
      </w:r>
    </w:p>
    <w:p w:rsidR="00000000" w:rsidDel="00000000" w:rsidP="00000000" w:rsidRDefault="00000000" w:rsidRPr="00000000" w14:paraId="000000FD">
      <w:pPr>
        <w:spacing w:after="20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Pole tekstowe. Kolumna zawiera oznaczenie projektu. Uzupełniana na podstawie słownika - tabela “Słownik wskaźnika projektów ZSK”. </w:t>
      </w:r>
    </w:p>
    <w:p w:rsidR="00000000" w:rsidDel="00000000" w:rsidP="00000000" w:rsidRDefault="00000000" w:rsidRPr="00000000" w14:paraId="000000FE">
      <w:pPr>
        <w:numPr>
          <w:ilvl w:val="0"/>
          <w:numId w:val="11"/>
        </w:numPr>
        <w:spacing w:before="20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Nazwa IC1</w:t>
      </w:r>
    </w:p>
    <w:p w:rsidR="00000000" w:rsidDel="00000000" w:rsidP="00000000" w:rsidRDefault="00000000" w:rsidRPr="00000000" w14:paraId="000000FF">
      <w:pPr>
        <w:spacing w:after="20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Pole tekstowe. Zawiera nazwę instytucji certyfikującej.</w:t>
      </w:r>
    </w:p>
    <w:p w:rsidR="00000000" w:rsidDel="00000000" w:rsidP="00000000" w:rsidRDefault="00000000" w:rsidRPr="00000000" w14:paraId="00000100">
      <w:pPr>
        <w:numPr>
          <w:ilvl w:val="0"/>
          <w:numId w:val="11"/>
        </w:numPr>
        <w:pBdr>
          <w:top w:space="0" w:sz="0" w:val="nil"/>
          <w:left w:space="0" w:sz="0" w:val="nil"/>
          <w:bottom w:space="0" w:sz="0" w:val="nil"/>
          <w:right w:space="0" w:sz="0" w:val="nil"/>
          <w:between w:space="0" w:sz="0" w:val="nil"/>
        </w:pBdr>
        <w:spacing w:before="20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Nazwa 1 PZZJ</w:t>
      </w:r>
    </w:p>
    <w:p w:rsidR="00000000" w:rsidDel="00000000" w:rsidP="00000000" w:rsidRDefault="00000000" w:rsidRPr="00000000" w14:paraId="00000101">
      <w:pPr>
        <w:pBdr>
          <w:top w:space="0" w:sz="0" w:val="nil"/>
          <w:left w:space="0" w:sz="0" w:val="nil"/>
          <w:bottom w:space="0" w:sz="0" w:val="nil"/>
          <w:right w:space="0" w:sz="0" w:val="nil"/>
          <w:between w:space="0" w:sz="0" w:val="nil"/>
        </w:pBdr>
        <w:spacing w:after="20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Pole tekstowe. Zawiera nazwę podmiotu zewnętrznego zapewniania jakości.</w:t>
      </w:r>
    </w:p>
    <w:p w:rsidR="00000000" w:rsidDel="00000000" w:rsidP="00000000" w:rsidRDefault="00000000" w:rsidRPr="00000000" w14:paraId="00000102">
      <w:pPr>
        <w:numPr>
          <w:ilvl w:val="0"/>
          <w:numId w:val="11"/>
        </w:numPr>
        <w:spacing w:before="20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Nazwa kolejnych IC2</w:t>
      </w:r>
    </w:p>
    <w:p w:rsidR="00000000" w:rsidDel="00000000" w:rsidP="00000000" w:rsidRDefault="00000000" w:rsidRPr="00000000" w14:paraId="00000103">
      <w:pPr>
        <w:spacing w:after="20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Pole tekstowe. Zawiera nazwę instytucji certyfikującej. Uzupełniane, jeśli MW wydał decyzję administracyjną dla kolejnej IC </w:t>
      </w:r>
    </w:p>
    <w:p w:rsidR="00000000" w:rsidDel="00000000" w:rsidP="00000000" w:rsidRDefault="00000000" w:rsidRPr="00000000" w14:paraId="00000104">
      <w:pPr>
        <w:numPr>
          <w:ilvl w:val="0"/>
          <w:numId w:val="11"/>
        </w:numPr>
        <w:spacing w:before="20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Nazwa kolejnych PZZJ</w:t>
      </w:r>
    </w:p>
    <w:p w:rsidR="00000000" w:rsidDel="00000000" w:rsidP="00000000" w:rsidRDefault="00000000" w:rsidRPr="00000000" w14:paraId="00000105">
      <w:pPr>
        <w:spacing w:after="20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Pole tekstowe. Zawiera nazwę podmiotu zewnętrznego zapewniania jakości. Uzupełniane, jeśli została podpisana umowa z kolejnym podmiotem.</w:t>
      </w:r>
    </w:p>
    <w:p w:rsidR="00000000" w:rsidDel="00000000" w:rsidP="00000000" w:rsidRDefault="00000000" w:rsidRPr="00000000" w14:paraId="00000106">
      <w:pPr>
        <w:numPr>
          <w:ilvl w:val="0"/>
          <w:numId w:val="11"/>
        </w:numPr>
        <w:spacing w:before="20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Grupa PZZJ</w:t>
      </w:r>
    </w:p>
    <w:p w:rsidR="00000000" w:rsidDel="00000000" w:rsidP="00000000" w:rsidRDefault="00000000" w:rsidRPr="00000000" w14:paraId="00000107">
      <w:pPr>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Pole tekstowe. Zawiera informacje stanowiące uszczegółowienie działów administracji rządowej w celu przyporządkowania PZZJ z listy oraz uzupełnienie naboru na listę PZZJ. Nie dla wszystkich grup są obecnie wyłonione PZZJ.</w:t>
      </w:r>
    </w:p>
    <w:p w:rsidR="00000000" w:rsidDel="00000000" w:rsidP="00000000" w:rsidRDefault="00000000" w:rsidRPr="00000000" w14:paraId="00000108">
      <w:pPr>
        <w:spacing w:before="20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Pole uzupełniane na podstawie informacji zawartych w ZRK.</w:t>
      </w:r>
    </w:p>
    <w:p w:rsidR="00000000" w:rsidDel="00000000" w:rsidP="00000000" w:rsidRDefault="00000000" w:rsidRPr="00000000" w14:paraId="00000109">
      <w:pPr>
        <w:numPr>
          <w:ilvl w:val="0"/>
          <w:numId w:val="11"/>
        </w:numPr>
        <w:pBdr>
          <w:top w:space="0" w:sz="0" w:val="nil"/>
          <w:left w:space="0" w:sz="0" w:val="nil"/>
          <w:bottom w:space="0" w:sz="0" w:val="nil"/>
          <w:right w:space="0" w:sz="0" w:val="nil"/>
          <w:between w:space="0" w:sz="0" w:val="nil"/>
        </w:pBdr>
        <w:spacing w:before="20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Data zakończenia umowy z PZZJ</w:t>
      </w:r>
    </w:p>
    <w:p w:rsidR="00000000" w:rsidDel="00000000" w:rsidP="00000000" w:rsidRDefault="00000000" w:rsidRPr="00000000" w14:paraId="0000010A">
      <w:pPr>
        <w:pBdr>
          <w:top w:space="0" w:sz="0" w:val="nil"/>
          <w:left w:space="0" w:sz="0" w:val="nil"/>
          <w:bottom w:space="0" w:sz="0" w:val="nil"/>
          <w:right w:space="0" w:sz="0" w:val="nil"/>
          <w:between w:space="0" w:sz="0" w:val="nil"/>
        </w:pBdr>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Pole typu data. Zawiera informację o terminie wygaśnięcia umowy z danym PZZJ w zakresie zapewnienia jakości walidacji i certyfikowania określonej kwalifikacji wolnorynkowej lub sektorowej.</w:t>
      </w:r>
    </w:p>
    <w:p w:rsidR="00000000" w:rsidDel="00000000" w:rsidP="00000000" w:rsidRDefault="00000000" w:rsidRPr="00000000" w14:paraId="0000010B">
      <w:pPr>
        <w:spacing w:after="200" w:before="20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Aktualnie tabela posiada ok. 130 wierszy. Wiersz zawiera dane dotyczące jednej kwalifikacji. W ostatnich trzech latach roczny przyrost liczby wierszy wynosi ok. 10. Dane w niektórych kolumnach mogą być aktualizowane dla poszczególnych wierszy, np. dodawanie kolejnych IC, uzupełnianie informacji w komentarzu.</w:t>
      </w:r>
    </w:p>
    <w:p w:rsidR="00000000" w:rsidDel="00000000" w:rsidP="00000000" w:rsidRDefault="00000000" w:rsidRPr="00000000" w14:paraId="0000010C">
      <w:pPr>
        <w:pStyle w:val="Heading3"/>
        <w:numPr>
          <w:ilvl w:val="2"/>
          <w:numId w:val="22"/>
        </w:numPr>
        <w:spacing w:after="240" w:before="200" w:lineRule="auto"/>
        <w:ind w:left="566" w:hanging="141"/>
        <w:jc w:val="both"/>
        <w:rPr/>
      </w:pPr>
      <w:bookmarkStart w:colFirst="0" w:colLast="0" w:name="_heading=h.2et92p0" w:id="4"/>
      <w:bookmarkEnd w:id="4"/>
      <w:r w:rsidDel="00000000" w:rsidR="00000000" w:rsidRPr="00000000">
        <w:rPr>
          <w:rtl w:val="0"/>
        </w:rPr>
        <w:t xml:space="preserve">Tabela “Lista-wnioski rozpatrzone neg”</w:t>
      </w:r>
    </w:p>
    <w:p w:rsidR="00000000" w:rsidDel="00000000" w:rsidP="00000000" w:rsidRDefault="00000000" w:rsidRPr="00000000" w14:paraId="0000010D">
      <w:pPr>
        <w:pBdr>
          <w:top w:space="0" w:sz="0" w:val="nil"/>
          <w:left w:space="0" w:sz="0" w:val="nil"/>
          <w:bottom w:space="0" w:sz="0" w:val="nil"/>
          <w:right w:space="0" w:sz="0" w:val="nil"/>
          <w:between w:space="0" w:sz="0" w:val="nil"/>
        </w:pBdr>
        <w:spacing w:after="200" w:before="20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Tabela zawiera listę wniosków rozpatrzonych negatywnie, przeniesionych z tabeli “Lista-wnioski rozpatrywane”, jeśli wniosek uzyska status “wniosek rozpatrzony negatywnie”.</w:t>
      </w:r>
    </w:p>
    <w:p w:rsidR="00000000" w:rsidDel="00000000" w:rsidP="00000000" w:rsidRDefault="00000000" w:rsidRPr="00000000" w14:paraId="0000010E">
      <w:pPr>
        <w:spacing w:after="200" w:before="20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Tabela składa się z 16 kolumn:</w:t>
      </w:r>
    </w:p>
    <w:p w:rsidR="00000000" w:rsidDel="00000000" w:rsidP="00000000" w:rsidRDefault="00000000" w:rsidRPr="00000000" w14:paraId="0000010F">
      <w:pPr>
        <w:numPr>
          <w:ilvl w:val="0"/>
          <w:numId w:val="16"/>
        </w:numPr>
        <w:spacing w:before="200"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Minister Właściwy (MW)</w:t>
      </w:r>
    </w:p>
    <w:p w:rsidR="00000000" w:rsidDel="00000000" w:rsidP="00000000" w:rsidRDefault="00000000" w:rsidRPr="00000000" w14:paraId="00000110">
      <w:pPr>
        <w:spacing w:after="20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Pole tekstowe. Kolumna zawiera nazwę ministra właściwego. Obecnie brak słownika.</w:t>
      </w:r>
    </w:p>
    <w:p w:rsidR="00000000" w:rsidDel="00000000" w:rsidP="00000000" w:rsidRDefault="00000000" w:rsidRPr="00000000" w14:paraId="00000111">
      <w:pPr>
        <w:numPr>
          <w:ilvl w:val="0"/>
          <w:numId w:val="16"/>
        </w:numPr>
        <w:spacing w:before="20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Kategoria kwalifikacji</w:t>
      </w:r>
    </w:p>
    <w:p w:rsidR="00000000" w:rsidDel="00000000" w:rsidP="00000000" w:rsidRDefault="00000000" w:rsidRPr="00000000" w14:paraId="00000112">
      <w:pPr>
        <w:spacing w:after="20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Pole tekstowe. Kolumna zawiera nazwę kategorii kwalifikacji cząstkowych spoza systemu oświaty i szkolnictwa wyższego zgodnie z obowiązującymi zapisami ustawy o ZSK, np. wolnorynkowe i sektorowe, uregulowane, rzemieślnicze. Obecnie wyróżnia się kwalifikacje wolnorynkowe i sektorowe</w:t>
      </w:r>
    </w:p>
    <w:p w:rsidR="00000000" w:rsidDel="00000000" w:rsidP="00000000" w:rsidRDefault="00000000" w:rsidRPr="00000000" w14:paraId="00000113">
      <w:pPr>
        <w:numPr>
          <w:ilvl w:val="0"/>
          <w:numId w:val="16"/>
        </w:numPr>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Nazwa kwalifikacji</w:t>
      </w:r>
    </w:p>
    <w:p w:rsidR="00000000" w:rsidDel="00000000" w:rsidP="00000000" w:rsidRDefault="00000000" w:rsidRPr="00000000" w14:paraId="00000114">
      <w:pPr>
        <w:spacing w:after="20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Pole tekstowe. Kolumna zawiera nazwę kwalifikacji.</w:t>
      </w:r>
    </w:p>
    <w:p w:rsidR="00000000" w:rsidDel="00000000" w:rsidP="00000000" w:rsidRDefault="00000000" w:rsidRPr="00000000" w14:paraId="00000115">
      <w:pPr>
        <w:numPr>
          <w:ilvl w:val="0"/>
          <w:numId w:val="16"/>
        </w:numPr>
        <w:spacing w:before="20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Projekt, w ramach którego podmiot skorzystał ze wsparcia IBE</w:t>
      </w:r>
    </w:p>
    <w:p w:rsidR="00000000" w:rsidDel="00000000" w:rsidP="00000000" w:rsidRDefault="00000000" w:rsidRPr="00000000" w14:paraId="00000116">
      <w:pPr>
        <w:spacing w:after="20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Pole tekstowe. Kolumna zawiera oznaczenie projektu. Uzupełniana na podstawie słownika - tabela “Słownik wskaźnika projektów ZSK”. </w:t>
      </w:r>
    </w:p>
    <w:p w:rsidR="00000000" w:rsidDel="00000000" w:rsidP="00000000" w:rsidRDefault="00000000" w:rsidRPr="00000000" w14:paraId="00000117">
      <w:pPr>
        <w:numPr>
          <w:ilvl w:val="0"/>
          <w:numId w:val="16"/>
        </w:numPr>
        <w:spacing w:before="20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Wnioskodawca</w:t>
      </w:r>
    </w:p>
    <w:p w:rsidR="00000000" w:rsidDel="00000000" w:rsidP="00000000" w:rsidRDefault="00000000" w:rsidRPr="00000000" w14:paraId="00000118">
      <w:pPr>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Pole tekstowe. Kolumna zawiera nazwę podmiotu wnioskującego o włączenie kwalifikacji do ZSK. </w:t>
      </w:r>
    </w:p>
    <w:p w:rsidR="00000000" w:rsidDel="00000000" w:rsidP="00000000" w:rsidRDefault="00000000" w:rsidRPr="00000000" w14:paraId="00000119">
      <w:pPr>
        <w:numPr>
          <w:ilvl w:val="0"/>
          <w:numId w:val="16"/>
        </w:numPr>
        <w:spacing w:before="20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Tryb włączania (stary tryb do 31.12.2023 lub nowy tryb od 1.01.2024)</w:t>
      </w:r>
    </w:p>
    <w:p w:rsidR="00000000" w:rsidDel="00000000" w:rsidP="00000000" w:rsidRDefault="00000000" w:rsidRPr="00000000" w14:paraId="0000011A">
      <w:pPr>
        <w:shd w:fill="ffffff" w:val="clear"/>
        <w:spacing w:after="200" w:lineRule="auto"/>
        <w:ind w:left="720" w:firstLine="0"/>
        <w:jc w:val="both"/>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W związku ze zmianami w ustawie o ZSK, wnioski o włączenie do ZSK kwalifikacji rynkowych, które do 31.12.2023 r.  zostały przedłożone do konsultacji z zainteresowanymi środowiskami - są rozpatrywane w trybie dotychczasowym (roboczo nazwany “starym trybem”).</w:t>
      </w:r>
    </w:p>
    <w:p w:rsidR="00000000" w:rsidDel="00000000" w:rsidP="00000000" w:rsidRDefault="00000000" w:rsidRPr="00000000" w14:paraId="0000011B">
      <w:pPr>
        <w:shd w:fill="ffffff" w:val="clear"/>
        <w:spacing w:after="200" w:before="200" w:lineRule="auto"/>
        <w:ind w:left="720" w:firstLine="0"/>
        <w:jc w:val="both"/>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Wnioski, które trafiły do ministerstw przed 31.12.2023 r., ale nie zostały przedłożone do konsultacji z zainteresowanymi środowiskami, zgodnie z przepisami przejściowymi - zostały zwrócone do wnioskodawców. Część z nich już złożyła wnioski powtórnie. Zarówno powtórnie złożone wnioski jak i nowe wnioski złożone po 1.01.2024 są rozpatrywane zgodnie z nowymi przepisami ustawowymi (“nowy tryb”). </w:t>
      </w:r>
    </w:p>
    <w:p w:rsidR="00000000" w:rsidDel="00000000" w:rsidP="00000000" w:rsidRDefault="00000000" w:rsidRPr="00000000" w14:paraId="0000011C">
      <w:pPr>
        <w:shd w:fill="ffffff" w:val="clear"/>
        <w:spacing w:after="200" w:before="20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222222"/>
          <w:sz w:val="24"/>
          <w:szCs w:val="24"/>
          <w:rtl w:val="0"/>
        </w:rPr>
        <w:t xml:space="preserve">Tabela Monitorująca obejmuje oba tryby włączania kwalifikacji.</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1D">
      <w:pPr>
        <w:numPr>
          <w:ilvl w:val="0"/>
          <w:numId w:val="16"/>
        </w:numPr>
        <w:spacing w:before="20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Koordynator w ministerstwie rozpatrującym wniosek</w:t>
      </w:r>
    </w:p>
    <w:p w:rsidR="00000000" w:rsidDel="00000000" w:rsidP="00000000" w:rsidRDefault="00000000" w:rsidRPr="00000000" w14:paraId="0000011E">
      <w:pPr>
        <w:spacing w:after="20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Pole tekstowe. Kolumna zawiera imię i nazwisko koordynatora w ministerstwie rozpatrującym wniosek, określenie jednostki organizacyjnej MW i stanowiska, numer telefonu i adres e-mail koordynatora. Wpisy w poszczególnych polach mogą zawierać dane więcej niż jednego koordynatora.</w:t>
      </w:r>
    </w:p>
    <w:p w:rsidR="00000000" w:rsidDel="00000000" w:rsidP="00000000" w:rsidRDefault="00000000" w:rsidRPr="00000000" w14:paraId="0000011F">
      <w:pPr>
        <w:numPr>
          <w:ilvl w:val="0"/>
          <w:numId w:val="16"/>
        </w:numPr>
        <w:spacing w:before="20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Departament w ministerstwie rozpatrującym wniosek</w:t>
      </w:r>
    </w:p>
    <w:p w:rsidR="00000000" w:rsidDel="00000000" w:rsidP="00000000" w:rsidRDefault="00000000" w:rsidRPr="00000000" w14:paraId="00000120">
      <w:pPr>
        <w:spacing w:after="20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Pole tekstowe. Kolumna zawiera nazwę departamentu w ministerstwie oraz imię i nazwisko dyrektora, zastępcy dyrektora, dane kontaktowe (e-mail, numer telefonu).</w:t>
      </w:r>
    </w:p>
    <w:p w:rsidR="00000000" w:rsidDel="00000000" w:rsidP="00000000" w:rsidRDefault="00000000" w:rsidRPr="00000000" w14:paraId="00000121">
      <w:pPr>
        <w:numPr>
          <w:ilvl w:val="0"/>
          <w:numId w:val="16"/>
        </w:numPr>
        <w:spacing w:before="20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Urzędnik odpowiedzialny</w:t>
      </w:r>
    </w:p>
    <w:p w:rsidR="00000000" w:rsidDel="00000000" w:rsidP="00000000" w:rsidRDefault="00000000" w:rsidRPr="00000000" w14:paraId="00000122">
      <w:pPr>
        <w:spacing w:after="20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Pole tekstowe. Kolumna zawiera dane urzędnika odpowiedzialnego: imię i nazwisko, określenie stanowiska, jednostki organizacyjnej w ministerstwie rozpatrującym wniosek, w której urzędnik jest zatrudniony, dane kontaktowe (e-mail, numer telefonu). Wpisy w poszczególnych polach mogą zawierać dane więcej niż jednego urzędnika odpowiedzialnego.</w:t>
      </w:r>
    </w:p>
    <w:p w:rsidR="00000000" w:rsidDel="00000000" w:rsidP="00000000" w:rsidRDefault="00000000" w:rsidRPr="00000000" w14:paraId="00000123">
      <w:pPr>
        <w:numPr>
          <w:ilvl w:val="0"/>
          <w:numId w:val="16"/>
        </w:numPr>
        <w:spacing w:before="20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Trwają prace w ZRK (TAK/NIE) </w:t>
      </w:r>
    </w:p>
    <w:p w:rsidR="00000000" w:rsidDel="00000000" w:rsidP="00000000" w:rsidRDefault="00000000" w:rsidRPr="00000000" w14:paraId="00000124">
      <w:pPr>
        <w:spacing w:after="20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Pole tekstowe. Wartość domyślna NIE.</w:t>
      </w:r>
    </w:p>
    <w:p w:rsidR="00000000" w:rsidDel="00000000" w:rsidP="00000000" w:rsidRDefault="00000000" w:rsidRPr="00000000" w14:paraId="00000125">
      <w:pPr>
        <w:numPr>
          <w:ilvl w:val="0"/>
          <w:numId w:val="16"/>
        </w:numPr>
        <w:spacing w:before="20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Data złożenia wniosku w ZRK</w:t>
      </w:r>
    </w:p>
    <w:p w:rsidR="00000000" w:rsidDel="00000000" w:rsidP="00000000" w:rsidRDefault="00000000" w:rsidRPr="00000000" w14:paraId="00000126">
      <w:pPr>
        <w:spacing w:after="20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Pole typu data.</w:t>
      </w:r>
    </w:p>
    <w:p w:rsidR="00000000" w:rsidDel="00000000" w:rsidP="00000000" w:rsidRDefault="00000000" w:rsidRPr="00000000" w14:paraId="00000127">
      <w:pPr>
        <w:numPr>
          <w:ilvl w:val="0"/>
          <w:numId w:val="16"/>
        </w:numPr>
        <w:spacing w:before="20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Data przekazania wniosku do MW (początek procedowania)</w:t>
      </w:r>
    </w:p>
    <w:p w:rsidR="00000000" w:rsidDel="00000000" w:rsidP="00000000" w:rsidRDefault="00000000" w:rsidRPr="00000000" w14:paraId="00000128">
      <w:pPr>
        <w:spacing w:after="200" w:lineRule="auto"/>
        <w:ind w:left="720" w:firstLine="0"/>
        <w:jc w:val="both"/>
        <w:rPr/>
      </w:pPr>
      <w:r w:rsidDel="00000000" w:rsidR="00000000" w:rsidRPr="00000000">
        <w:rPr>
          <w:rFonts w:ascii="Times New Roman" w:cs="Times New Roman" w:eastAsia="Times New Roman" w:hAnsi="Times New Roman"/>
          <w:sz w:val="24"/>
          <w:szCs w:val="24"/>
          <w:rtl w:val="0"/>
        </w:rPr>
        <w:t xml:space="preserve">Pole tekstowe. Kolumna zawiera datę oraz oznaczenie ministerstwa (skrót nazwy).</w:t>
      </w:r>
      <w:r w:rsidDel="00000000" w:rsidR="00000000" w:rsidRPr="00000000">
        <w:rPr>
          <w:rtl w:val="0"/>
        </w:rPr>
      </w:r>
    </w:p>
    <w:p w:rsidR="00000000" w:rsidDel="00000000" w:rsidP="00000000" w:rsidRDefault="00000000" w:rsidRPr="00000000" w14:paraId="00000129">
      <w:pPr>
        <w:numPr>
          <w:ilvl w:val="0"/>
          <w:numId w:val="16"/>
        </w:numPr>
        <w:spacing w:before="20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Data przekazania wniosku do MW (po zmianie MW)</w:t>
      </w:r>
    </w:p>
    <w:p w:rsidR="00000000" w:rsidDel="00000000" w:rsidP="00000000" w:rsidRDefault="00000000" w:rsidRPr="00000000" w14:paraId="0000012A">
      <w:pPr>
        <w:spacing w:after="200" w:lineRule="auto"/>
        <w:ind w:left="720" w:firstLine="0"/>
        <w:jc w:val="both"/>
        <w:rPr/>
      </w:pPr>
      <w:r w:rsidDel="00000000" w:rsidR="00000000" w:rsidRPr="00000000">
        <w:rPr>
          <w:rFonts w:ascii="Times New Roman" w:cs="Times New Roman" w:eastAsia="Times New Roman" w:hAnsi="Times New Roman"/>
          <w:sz w:val="24"/>
          <w:szCs w:val="24"/>
          <w:rtl w:val="0"/>
        </w:rPr>
        <w:t xml:space="preserve">Pole tekstowe. Kolumna zawiera datę oraz oznaczenie ministerstwa (skrót nazwy). Pole może zawierać wartości puste.</w:t>
      </w:r>
      <w:r w:rsidDel="00000000" w:rsidR="00000000" w:rsidRPr="00000000">
        <w:rPr>
          <w:rtl w:val="0"/>
        </w:rPr>
      </w:r>
    </w:p>
    <w:p w:rsidR="00000000" w:rsidDel="00000000" w:rsidP="00000000" w:rsidRDefault="00000000" w:rsidRPr="00000000" w14:paraId="0000012B">
      <w:pPr>
        <w:numPr>
          <w:ilvl w:val="0"/>
          <w:numId w:val="16"/>
        </w:numPr>
        <w:spacing w:before="20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Status wniosku</w:t>
      </w:r>
    </w:p>
    <w:p w:rsidR="00000000" w:rsidDel="00000000" w:rsidP="00000000" w:rsidRDefault="00000000" w:rsidRPr="00000000" w14:paraId="0000012C">
      <w:pPr>
        <w:spacing w:after="20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Pole tekstowe. Kolumna uzupełniane na podstawie słownika - tabela “Lista statusów”. Wykorzystywane trzy statusy: “Procedowanie zakończono na etapie oceny formalnej - stare wnioski”, “Wniosek rozpatrzony negatywnie”, “Wniosek wycofany przez PW - stare wnioski”. Docelowo mogą się tu znaleźć statusy uwzględniające nowy tryb procedowania: “VI. wniosek pozostaje bez rozpatrzenia przez PP ZRK art.14”, “XI. wniosek pozostaje bez rozpatrzenia przez MW art.18a”, “A. PROCEDOWANIE ZAKOŃCZONO NA ETAPIE OCENY FORMALNEJ - (nowy tryb - wolnorynkowa/ sektorowa)”, “B. WNIOSEK ROZPATRZONY NEGATYWNIE (nowy tryb - wolnorynkowa/ sektorowa)”, “C. WNIOSEK WYCOFANY PRZEZ PW - (nowy tryb - wolnorynkowa/ sektorowa)”.</w:t>
      </w:r>
    </w:p>
    <w:p w:rsidR="00000000" w:rsidDel="00000000" w:rsidP="00000000" w:rsidRDefault="00000000" w:rsidRPr="00000000" w14:paraId="0000012D">
      <w:pPr>
        <w:numPr>
          <w:ilvl w:val="0"/>
          <w:numId w:val="16"/>
        </w:numPr>
        <w:spacing w:before="20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Data negatywnego rozpatrzenia wniosku</w:t>
      </w:r>
    </w:p>
    <w:p w:rsidR="00000000" w:rsidDel="00000000" w:rsidP="00000000" w:rsidRDefault="00000000" w:rsidRPr="00000000" w14:paraId="0000012E">
      <w:pPr>
        <w:spacing w:after="20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Pole typu data. </w:t>
      </w:r>
    </w:p>
    <w:p w:rsidR="00000000" w:rsidDel="00000000" w:rsidP="00000000" w:rsidRDefault="00000000" w:rsidRPr="00000000" w14:paraId="0000012F">
      <w:pPr>
        <w:numPr>
          <w:ilvl w:val="0"/>
          <w:numId w:val="16"/>
        </w:numPr>
        <w:spacing w:before="20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Komentarz</w:t>
      </w:r>
    </w:p>
    <w:p w:rsidR="00000000" w:rsidDel="00000000" w:rsidP="00000000" w:rsidRDefault="00000000" w:rsidRPr="00000000" w14:paraId="00000130">
      <w:pPr>
        <w:spacing w:after="20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Pole tekstowe. W kolumnie znajdują się informacje, że wniosek został rozpatrzony negatywnie oraz że zostało wysłane pismo do podmiotu wnioskującego, a także  data wysłania tego pisma. </w:t>
      </w:r>
    </w:p>
    <w:p w:rsidR="00000000" w:rsidDel="00000000" w:rsidP="00000000" w:rsidRDefault="00000000" w:rsidRPr="00000000" w14:paraId="00000131">
      <w:pPr>
        <w:spacing w:after="200" w:before="20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Aktualnie tabela posiada ok. 125 wierszy. Wiersz zawiera dane dotyczące jednego wniosku. W ostatnich trzech latach roczny przyrost liczby wierszy wynosi od kilku do kilkunastu wierszy.</w:t>
      </w:r>
    </w:p>
    <w:p w:rsidR="00000000" w:rsidDel="00000000" w:rsidP="00000000" w:rsidRDefault="00000000" w:rsidRPr="00000000" w14:paraId="00000132">
      <w:pPr>
        <w:pBdr>
          <w:top w:space="0" w:sz="0" w:val="nil"/>
          <w:left w:space="0" w:sz="0" w:val="nil"/>
          <w:bottom w:space="0" w:sz="0" w:val="nil"/>
          <w:right w:space="0" w:sz="0" w:val="nil"/>
          <w:between w:space="0" w:sz="0" w:val="nil"/>
        </w:pBdr>
        <w:spacing w:after="200" w:before="20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Wszystkie trzy opisane wyżej tabele powinny być rozpatrywane łącznie, biorąc pod uwagę, że po uzyskaniu określonego statusu przez wniosek/kwalifikację, dotyczące jego dane (wiersz z danymi) przenoszony jest z tabeli “Lista-wnioski rozpatrywane” odpowiednio do tabeli “Lista-kwalifikacje funkcjonujące, umowa z PZZJ”, albo tabeli “Lista-wnioski rozpatrzone neg”.  </w:t>
      </w:r>
    </w:p>
    <w:p w:rsidR="00000000" w:rsidDel="00000000" w:rsidP="00000000" w:rsidRDefault="00000000" w:rsidRPr="00000000" w14:paraId="00000133">
      <w:pPr>
        <w:pStyle w:val="Heading3"/>
        <w:numPr>
          <w:ilvl w:val="2"/>
          <w:numId w:val="22"/>
        </w:numPr>
        <w:pBdr>
          <w:top w:space="0" w:sz="0" w:val="nil"/>
          <w:left w:space="0" w:sz="0" w:val="nil"/>
          <w:bottom w:space="0" w:sz="0" w:val="nil"/>
          <w:right w:space="0" w:sz="0" w:val="nil"/>
          <w:between w:space="0" w:sz="0" w:val="nil"/>
        </w:pBdr>
        <w:spacing w:after="240" w:before="200" w:lineRule="auto"/>
        <w:ind w:left="566" w:hanging="141"/>
        <w:jc w:val="both"/>
        <w:rPr/>
      </w:pPr>
      <w:bookmarkStart w:colFirst="0" w:colLast="0" w:name="_heading=h.tyjcwt" w:id="5"/>
      <w:bookmarkEnd w:id="5"/>
      <w:r w:rsidDel="00000000" w:rsidR="00000000" w:rsidRPr="00000000">
        <w:rPr>
          <w:rtl w:val="0"/>
        </w:rPr>
        <w:t xml:space="preserve">Tabela “Podsumowanie ministerstwa”</w:t>
      </w:r>
    </w:p>
    <w:p w:rsidR="00000000" w:rsidDel="00000000" w:rsidP="00000000" w:rsidRDefault="00000000" w:rsidRPr="00000000" w14:paraId="00000134">
      <w:pPr>
        <w:pBdr>
          <w:top w:space="0" w:sz="0" w:val="nil"/>
          <w:left w:space="0" w:sz="0" w:val="nil"/>
          <w:bottom w:space="0" w:sz="0" w:val="nil"/>
          <w:right w:space="0" w:sz="0" w:val="nil"/>
          <w:between w:space="0" w:sz="0" w:val="nil"/>
        </w:pBdr>
        <w:spacing w:after="200" w:before="20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Tabela zbiorcza zawierająca wyniki generowane na podstawie danych zawartych w tabelach: Lista – wnioski rozpatrywane, Lista – kwalifikacje funkcjonujące, Lista – wnioski rozpatrzone negatywnie.</w:t>
      </w:r>
    </w:p>
    <w:p w:rsidR="00000000" w:rsidDel="00000000" w:rsidP="00000000" w:rsidRDefault="00000000" w:rsidRPr="00000000" w14:paraId="00000135">
      <w:pPr>
        <w:pBdr>
          <w:top w:space="0" w:sz="0" w:val="nil"/>
          <w:left w:space="0" w:sz="0" w:val="nil"/>
          <w:bottom w:space="0" w:sz="0" w:val="nil"/>
          <w:right w:space="0" w:sz="0" w:val="nil"/>
          <w:between w:space="0" w:sz="0" w:val="nil"/>
        </w:pBdr>
        <w:spacing w:after="200" w:before="20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Zawiera informacje o liczbie wniosków rozpatrywanych przez poszczególnych ministrów właściwych, w podziale na wnioski aktualnie rozpatrywane, w tym wnioski ocenione pozytywnie przez ministra, przed publikacją, kwalifikacje, dla których wydano obwieszczenia oraz wnioski rozpatrzone negatywnie. Oprócz ogólnej liczby wniosków na wymienionych wyżej etapach rozpatrywania, w tabeli wyodrębniono informacje o liczbie wniosków opisanych w ramach poszczególnych projektów. Obecnie stosowane są  formuły, które zliczają  liczbę wniosków/kwalifikacji o danych statusach. (Np. =LICZ.WARUNKI('Lista - wnioski rozpatrywane'!A2:A2825;"Minister Cyfryzacji";'Lista - wnioski rozpatrywane'!K2:K2825; "tak")</w:t>
      </w:r>
    </w:p>
    <w:p w:rsidR="00000000" w:rsidDel="00000000" w:rsidP="00000000" w:rsidRDefault="00000000" w:rsidRPr="00000000" w14:paraId="00000136">
      <w:pPr>
        <w:pBdr>
          <w:top w:space="0" w:sz="0" w:val="nil"/>
          <w:left w:space="0" w:sz="0" w:val="nil"/>
          <w:bottom w:space="0" w:sz="0" w:val="nil"/>
          <w:right w:space="0" w:sz="0" w:val="nil"/>
          <w:between w:space="0" w:sz="0" w:val="nil"/>
        </w:pBdr>
        <w:spacing w:after="200" w:before="20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Poniżej szablon tabeli:</w:t>
      </w:r>
    </w:p>
    <w:tbl>
      <w:tblPr>
        <w:tblStyle w:val="Table1"/>
        <w:tblW w:w="904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70"/>
        <w:gridCol w:w="1815"/>
        <w:gridCol w:w="1425"/>
        <w:gridCol w:w="840"/>
        <w:gridCol w:w="795"/>
        <w:gridCol w:w="795"/>
        <w:gridCol w:w="795"/>
        <w:gridCol w:w="795"/>
        <w:gridCol w:w="1215"/>
        <w:tblGridChange w:id="0">
          <w:tblGrid>
            <w:gridCol w:w="570"/>
            <w:gridCol w:w="1815"/>
            <w:gridCol w:w="1425"/>
            <w:gridCol w:w="840"/>
            <w:gridCol w:w="795"/>
            <w:gridCol w:w="795"/>
            <w:gridCol w:w="795"/>
            <w:gridCol w:w="795"/>
            <w:gridCol w:w="1215"/>
          </w:tblGrid>
        </w:tblGridChange>
      </w:tblGrid>
      <w:tr>
        <w:trPr>
          <w:cantSplit w:val="0"/>
          <w:trHeight w:val="446" w:hRule="atLeast"/>
          <w:tblHeader w:val="0"/>
        </w:trPr>
        <w:tc>
          <w:tcPr>
            <w:vMerge w:val="restart"/>
            <w:shd w:fill="auto" w:val="clear"/>
            <w:tcMar>
              <w:top w:w="100.0" w:type="dxa"/>
              <w:left w:w="100.0" w:type="dxa"/>
              <w:bottom w:w="100.0" w:type="dxa"/>
              <w:right w:w="100.0" w:type="dxa"/>
            </w:tcMar>
          </w:tcPr>
          <w:p w:rsidR="00000000" w:rsidDel="00000000" w:rsidP="00000000" w:rsidRDefault="00000000" w:rsidRPr="00000000" w14:paraId="00000137">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Lp.</w:t>
            </w:r>
          </w:p>
        </w:tc>
        <w:tc>
          <w:tcPr>
            <w:vMerge w:val="restart"/>
            <w:shd w:fill="auto" w:val="clear"/>
            <w:tcMar>
              <w:top w:w="100.0" w:type="dxa"/>
              <w:left w:w="100.0" w:type="dxa"/>
              <w:bottom w:w="100.0" w:type="dxa"/>
              <w:right w:w="100.0" w:type="dxa"/>
            </w:tcMar>
          </w:tcPr>
          <w:p w:rsidR="00000000" w:rsidDel="00000000" w:rsidP="00000000" w:rsidRDefault="00000000" w:rsidRPr="00000000" w14:paraId="00000138">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Nazwa ministra właściwego</w:t>
            </w:r>
          </w:p>
        </w:tc>
        <w:tc>
          <w:tcPr>
            <w:vMerge w:val="restart"/>
            <w:shd w:fill="auto" w:val="clear"/>
            <w:tcMar>
              <w:top w:w="100.0" w:type="dxa"/>
              <w:left w:w="100.0" w:type="dxa"/>
              <w:bottom w:w="100.0" w:type="dxa"/>
              <w:right w:w="100.0" w:type="dxa"/>
            </w:tcMar>
          </w:tcPr>
          <w:p w:rsidR="00000000" w:rsidDel="00000000" w:rsidP="00000000" w:rsidRDefault="00000000" w:rsidRPr="00000000" w14:paraId="00000139">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wszystkie kwalifikacje rynkowe</w:t>
            </w:r>
          </w:p>
        </w:tc>
        <w:tc>
          <w:tcPr>
            <w:gridSpan w:val="5"/>
            <w:shd w:fill="auto" w:val="clear"/>
            <w:tcMar>
              <w:top w:w="100.0" w:type="dxa"/>
              <w:left w:w="100.0" w:type="dxa"/>
              <w:bottom w:w="100.0" w:type="dxa"/>
              <w:right w:w="100.0" w:type="dxa"/>
            </w:tcMar>
          </w:tcPr>
          <w:p w:rsidR="00000000" w:rsidDel="00000000" w:rsidP="00000000" w:rsidRDefault="00000000" w:rsidRPr="00000000" w14:paraId="0000013A">
            <w:pPr>
              <w:widowControl w:val="0"/>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opisane w ramach</w:t>
            </w:r>
          </w:p>
        </w:tc>
        <w:tc>
          <w:tcPr>
            <w:vMerge w:val="restart"/>
            <w:shd w:fill="auto" w:val="clear"/>
            <w:tcMar>
              <w:top w:w="100.0" w:type="dxa"/>
              <w:left w:w="100.0" w:type="dxa"/>
              <w:bottom w:w="100.0" w:type="dxa"/>
              <w:right w:w="100.0" w:type="dxa"/>
            </w:tcMar>
          </w:tcPr>
          <w:p w:rsidR="00000000" w:rsidDel="00000000" w:rsidP="00000000" w:rsidRDefault="00000000" w:rsidRPr="00000000" w14:paraId="0000013F">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spoza projektów IBE</w:t>
            </w:r>
          </w:p>
        </w:tc>
      </w:tr>
      <w:tr>
        <w:trPr>
          <w:cantSplit w:val="0"/>
          <w:trHeight w:val="440" w:hRule="atLeast"/>
          <w:tblHeader w:val="0"/>
        </w:trPr>
        <w:tc>
          <w:tcPr>
            <w:vMerge w:val="continue"/>
            <w:shd w:fill="auto" w:val="clear"/>
            <w:tcMar>
              <w:top w:w="100.0" w:type="dxa"/>
              <w:left w:w="100.0" w:type="dxa"/>
              <w:bottom w:w="100.0" w:type="dxa"/>
              <w:right w:w="100.0" w:type="dxa"/>
            </w:tcMar>
          </w:tcPr>
          <w:p w:rsidR="00000000" w:rsidDel="00000000" w:rsidP="00000000" w:rsidRDefault="00000000" w:rsidRPr="00000000" w14:paraId="000001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vMerge w:val="continue"/>
            <w:shd w:fill="auto" w:val="clear"/>
            <w:tcMar>
              <w:top w:w="100.0" w:type="dxa"/>
              <w:left w:w="100.0" w:type="dxa"/>
              <w:bottom w:w="100.0" w:type="dxa"/>
              <w:right w:w="100.0" w:type="dxa"/>
            </w:tcMar>
          </w:tcPr>
          <w:p w:rsidR="00000000" w:rsidDel="00000000" w:rsidP="00000000" w:rsidRDefault="00000000" w:rsidRPr="00000000" w14:paraId="000001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vMerge w:val="continue"/>
            <w:shd w:fill="auto" w:val="clear"/>
            <w:tcMar>
              <w:top w:w="100.0" w:type="dxa"/>
              <w:left w:w="100.0" w:type="dxa"/>
              <w:bottom w:w="100.0" w:type="dxa"/>
              <w:right w:w="100.0" w:type="dxa"/>
            </w:tcMar>
          </w:tcPr>
          <w:p w:rsidR="00000000" w:rsidDel="00000000" w:rsidP="00000000" w:rsidRDefault="00000000" w:rsidRPr="00000000" w14:paraId="000001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43">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ZSK1</w:t>
            </w:r>
          </w:p>
        </w:tc>
        <w:tc>
          <w:tcPr>
            <w:shd w:fill="auto" w:val="clear"/>
            <w:tcMar>
              <w:top w:w="100.0" w:type="dxa"/>
              <w:left w:w="100.0" w:type="dxa"/>
              <w:bottom w:w="100.0" w:type="dxa"/>
              <w:right w:w="100.0" w:type="dxa"/>
            </w:tcMar>
          </w:tcPr>
          <w:p w:rsidR="00000000" w:rsidDel="00000000" w:rsidP="00000000" w:rsidRDefault="00000000" w:rsidRPr="00000000" w14:paraId="00000144">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ZSK2</w:t>
            </w:r>
          </w:p>
        </w:tc>
        <w:tc>
          <w:tcPr>
            <w:shd w:fill="auto" w:val="clear"/>
            <w:tcMar>
              <w:top w:w="100.0" w:type="dxa"/>
              <w:left w:w="100.0" w:type="dxa"/>
              <w:bottom w:w="100.0" w:type="dxa"/>
              <w:right w:w="100.0" w:type="dxa"/>
            </w:tcMar>
          </w:tcPr>
          <w:p w:rsidR="00000000" w:rsidDel="00000000" w:rsidP="00000000" w:rsidRDefault="00000000" w:rsidRPr="00000000" w14:paraId="00000145">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ZSK3</w:t>
            </w:r>
          </w:p>
        </w:tc>
        <w:tc>
          <w:tcPr>
            <w:shd w:fill="auto" w:val="clear"/>
            <w:tcMar>
              <w:top w:w="100.0" w:type="dxa"/>
              <w:left w:w="100.0" w:type="dxa"/>
              <w:bottom w:w="100.0" w:type="dxa"/>
              <w:right w:w="100.0" w:type="dxa"/>
            </w:tcMar>
          </w:tcPr>
          <w:p w:rsidR="00000000" w:rsidDel="00000000" w:rsidP="00000000" w:rsidRDefault="00000000" w:rsidRPr="00000000" w14:paraId="00000146">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ZSK4</w:t>
            </w:r>
          </w:p>
        </w:tc>
        <w:tc>
          <w:tcPr>
            <w:shd w:fill="auto" w:val="clear"/>
            <w:tcMar>
              <w:top w:w="100.0" w:type="dxa"/>
              <w:left w:w="100.0" w:type="dxa"/>
              <w:bottom w:w="100.0" w:type="dxa"/>
              <w:right w:w="100.0" w:type="dxa"/>
            </w:tcMar>
          </w:tcPr>
          <w:p w:rsidR="00000000" w:rsidDel="00000000" w:rsidP="00000000" w:rsidRDefault="00000000" w:rsidRPr="00000000" w14:paraId="00000147">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ZSK5</w:t>
            </w:r>
          </w:p>
        </w:tc>
        <w:tc>
          <w:tcPr>
            <w:vMerge w:val="continue"/>
            <w:shd w:fill="auto" w:val="clear"/>
            <w:tcMar>
              <w:top w:w="100.0" w:type="dxa"/>
              <w:left w:w="100.0" w:type="dxa"/>
              <w:bottom w:w="100.0" w:type="dxa"/>
              <w:right w:w="100.0" w:type="dxa"/>
            </w:tcMar>
          </w:tcPr>
          <w:p w:rsidR="00000000" w:rsidDel="00000000" w:rsidP="00000000" w:rsidRDefault="00000000" w:rsidRPr="00000000" w14:paraId="000001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49">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shd w:fill="auto" w:val="clear"/>
            <w:tcMar>
              <w:top w:w="100.0" w:type="dxa"/>
              <w:left w:w="100.0" w:type="dxa"/>
              <w:bottom w:w="100.0" w:type="dxa"/>
              <w:right w:w="100.0" w:type="dxa"/>
            </w:tcMar>
          </w:tcPr>
          <w:p w:rsidR="00000000" w:rsidDel="00000000" w:rsidP="00000000" w:rsidRDefault="00000000" w:rsidRPr="00000000" w14:paraId="0000014A">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Wnioski aktualnie rozpatrywane</w:t>
            </w:r>
          </w:p>
        </w:tc>
        <w:tc>
          <w:tcPr>
            <w:shd w:fill="auto" w:val="clear"/>
            <w:tcMar>
              <w:top w:w="100.0" w:type="dxa"/>
              <w:left w:w="100.0" w:type="dxa"/>
              <w:bottom w:w="100.0" w:type="dxa"/>
              <w:right w:w="100.0" w:type="dxa"/>
            </w:tcMar>
          </w:tcPr>
          <w:p w:rsidR="00000000" w:rsidDel="00000000" w:rsidP="00000000" w:rsidRDefault="00000000" w:rsidRPr="00000000" w14:paraId="0000014B">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4C">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4D">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4E">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4F">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50">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51">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52">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1a</w:t>
            </w:r>
          </w:p>
        </w:tc>
        <w:tc>
          <w:tcPr>
            <w:shd w:fill="auto" w:val="clear"/>
            <w:tcMar>
              <w:top w:w="100.0" w:type="dxa"/>
              <w:left w:w="100.0" w:type="dxa"/>
              <w:bottom w:w="100.0" w:type="dxa"/>
              <w:right w:w="100.0" w:type="dxa"/>
            </w:tcMar>
          </w:tcPr>
          <w:p w:rsidR="00000000" w:rsidDel="00000000" w:rsidP="00000000" w:rsidRDefault="00000000" w:rsidRPr="00000000" w14:paraId="00000153">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 tym wnioski ocenione pozytywnie przez ministra, przed publikacją obwieszczenia</w:t>
            </w:r>
          </w:p>
        </w:tc>
        <w:tc>
          <w:tcPr>
            <w:shd w:fill="auto" w:val="clear"/>
            <w:tcMar>
              <w:top w:w="100.0" w:type="dxa"/>
              <w:left w:w="100.0" w:type="dxa"/>
              <w:bottom w:w="100.0" w:type="dxa"/>
              <w:right w:w="100.0" w:type="dxa"/>
            </w:tcMar>
          </w:tcPr>
          <w:p w:rsidR="00000000" w:rsidDel="00000000" w:rsidP="00000000" w:rsidRDefault="00000000" w:rsidRPr="00000000" w14:paraId="00000154">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55">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56">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57">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58">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59">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5A">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5B">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shd w:fill="auto" w:val="clear"/>
            <w:tcMar>
              <w:top w:w="100.0" w:type="dxa"/>
              <w:left w:w="100.0" w:type="dxa"/>
              <w:bottom w:w="100.0" w:type="dxa"/>
              <w:right w:w="100.0" w:type="dxa"/>
            </w:tcMar>
          </w:tcPr>
          <w:p w:rsidR="00000000" w:rsidDel="00000000" w:rsidP="00000000" w:rsidRDefault="00000000" w:rsidRPr="00000000" w14:paraId="0000015C">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Kwalifikacje, dla których wydano obwieszczenia</w:t>
            </w:r>
          </w:p>
        </w:tc>
        <w:tc>
          <w:tcPr>
            <w:shd w:fill="auto" w:val="clear"/>
            <w:tcMar>
              <w:top w:w="100.0" w:type="dxa"/>
              <w:left w:w="100.0" w:type="dxa"/>
              <w:bottom w:w="100.0" w:type="dxa"/>
              <w:right w:w="100.0" w:type="dxa"/>
            </w:tcMar>
          </w:tcPr>
          <w:p w:rsidR="00000000" w:rsidDel="00000000" w:rsidP="00000000" w:rsidRDefault="00000000" w:rsidRPr="00000000" w14:paraId="0000015D">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5E">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5F">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60">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61">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62">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63">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64">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w:t>
            </w:r>
          </w:p>
        </w:tc>
        <w:tc>
          <w:tcPr>
            <w:shd w:fill="auto" w:val="clear"/>
            <w:tcMar>
              <w:top w:w="100.0" w:type="dxa"/>
              <w:left w:w="100.0" w:type="dxa"/>
              <w:bottom w:w="100.0" w:type="dxa"/>
              <w:right w:w="100.0" w:type="dxa"/>
            </w:tcMar>
          </w:tcPr>
          <w:p w:rsidR="00000000" w:rsidDel="00000000" w:rsidP="00000000" w:rsidRDefault="00000000" w:rsidRPr="00000000" w14:paraId="00000165">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Wnioski rozpatrzone negatywnie</w:t>
            </w:r>
          </w:p>
        </w:tc>
        <w:tc>
          <w:tcPr>
            <w:shd w:fill="auto" w:val="clear"/>
            <w:tcMar>
              <w:top w:w="100.0" w:type="dxa"/>
              <w:left w:w="100.0" w:type="dxa"/>
              <w:bottom w:w="100.0" w:type="dxa"/>
              <w:right w:w="100.0" w:type="dxa"/>
            </w:tcMar>
          </w:tcPr>
          <w:p w:rsidR="00000000" w:rsidDel="00000000" w:rsidP="00000000" w:rsidRDefault="00000000" w:rsidRPr="00000000" w14:paraId="00000166">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67">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68">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69">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6A">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6B">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6C">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16D">
      <w:pPr>
        <w:pStyle w:val="Heading3"/>
        <w:numPr>
          <w:ilvl w:val="2"/>
          <w:numId w:val="22"/>
        </w:numPr>
        <w:pBdr>
          <w:top w:space="0" w:sz="0" w:val="nil"/>
          <w:left w:space="0" w:sz="0" w:val="nil"/>
          <w:bottom w:space="0" w:sz="0" w:val="nil"/>
          <w:right w:space="0" w:sz="0" w:val="nil"/>
          <w:between w:space="0" w:sz="0" w:val="nil"/>
        </w:pBdr>
        <w:spacing w:after="240" w:before="200" w:lineRule="auto"/>
        <w:ind w:left="566" w:hanging="141"/>
        <w:jc w:val="both"/>
        <w:rPr/>
      </w:pPr>
      <w:bookmarkStart w:colFirst="0" w:colLast="0" w:name="_heading=h.3dy6vkm" w:id="6"/>
      <w:bookmarkEnd w:id="6"/>
      <w:r w:rsidDel="00000000" w:rsidR="00000000" w:rsidRPr="00000000">
        <w:rPr>
          <w:rtl w:val="0"/>
        </w:rPr>
        <w:t xml:space="preserve">Tabela “Podsumowanie stanu prac”</w:t>
      </w:r>
    </w:p>
    <w:p w:rsidR="00000000" w:rsidDel="00000000" w:rsidP="00000000" w:rsidRDefault="00000000" w:rsidRPr="00000000" w14:paraId="0000016E">
      <w:pPr>
        <w:spacing w:after="200" w:before="20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Zestawienie składa się z czterech tabel: </w:t>
      </w:r>
    </w:p>
    <w:p w:rsidR="00000000" w:rsidDel="00000000" w:rsidP="00000000" w:rsidRDefault="00000000" w:rsidRPr="00000000" w14:paraId="0000016F">
      <w:pPr>
        <w:numPr>
          <w:ilvl w:val="0"/>
          <w:numId w:val="12"/>
        </w:numPr>
        <w:spacing w:before="20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dwie prezentujące ogólną liczbę złożonych wniosków o włączenie kwalifikacji do ZSK zgodnie ze starym i nowym trybem rozpatrywania, z uwzględnieniem statusów wynikających z ustawy,</w:t>
      </w:r>
    </w:p>
    <w:p w:rsidR="00000000" w:rsidDel="00000000" w:rsidP="00000000" w:rsidRDefault="00000000" w:rsidRPr="00000000" w14:paraId="00000170">
      <w:pPr>
        <w:numPr>
          <w:ilvl w:val="0"/>
          <w:numId w:val="12"/>
        </w:numPr>
        <w:spacing w:after="20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dwie prezentujące liczbę aktualnie rozpatrywanych wniosków zgodnie ze starym i nowym trybem z uwzględnieniem statusów z Tabeli Monitorującej.</w:t>
      </w:r>
    </w:p>
    <w:p w:rsidR="00000000" w:rsidDel="00000000" w:rsidP="00000000" w:rsidRDefault="00000000" w:rsidRPr="00000000" w14:paraId="00000171">
      <w:pPr>
        <w:spacing w:after="200" w:before="20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Są to tabele zbiorcze zawierające wyniki generowane na podstawie danych zawartych w tabelach: “Lista – wnioski rozpatrywane”, “Lista kwalifikacje funkcjonujące, umowa z PZZJ”, “Lista – wnioski rozpatrzone neg”.</w:t>
      </w:r>
    </w:p>
    <w:p w:rsidR="00000000" w:rsidDel="00000000" w:rsidP="00000000" w:rsidRDefault="00000000" w:rsidRPr="00000000" w14:paraId="00000172">
      <w:pPr>
        <w:spacing w:after="200" w:before="20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Tabela 1 “ETAPY ROZPATRYWANIA WG. USTAWY O ZSK - STARY TRYB DO 31.12.2023” zawiera informacje o wszystkich złożonych wnioskach dotyczących włączenia kwalifikacji do ZSK. Podsumowanie stanu prac nad włączeniem kwalifikacji i ich funkcjonowaniem. W tabeli wyodrębniono etapy rozpatrywania wniosków wynikające z ustawy o ZSK. Dane do tej tabeli są pozyskiwane z tabel “Lista - wnioski rozpatrywane” i “Lista - kwalifikacje funkcjonujące, umowa z PZZJ”. </w:t>
      </w:r>
    </w:p>
    <w:p w:rsidR="00000000" w:rsidDel="00000000" w:rsidP="00000000" w:rsidRDefault="00000000" w:rsidRPr="00000000" w14:paraId="00000173">
      <w:pPr>
        <w:spacing w:after="200" w:before="20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Tabela 2 “ETAPY ROZPATRYWANIA WG. USTAWY O ZSK - NOWY TRYB OD 1.01.2024” zawiera informacje o wszystkich złożonych wnioskach dotyczących włączenia kwalifikacji wolnorynkowych i sektorowych do ZSK. Podsumowanie stanu prac nad włączeniem kwalifikacji i ich funkcjonowaniem. W tabeli wyodrębniono etapy rozpatrywania wniosków wynikające z ustawy o ZSK. Dane do tej tabeli są pozyskiwane z tabel “Lista - wnioski rozpatrywane” i “Lista - kwalifikacje funkcjonujące, umowa z PZZJ”. </w:t>
      </w:r>
    </w:p>
    <w:p w:rsidR="00000000" w:rsidDel="00000000" w:rsidP="00000000" w:rsidRDefault="00000000" w:rsidRPr="00000000" w14:paraId="00000174">
      <w:pPr>
        <w:spacing w:after="200" w:before="20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Tabele 3 i 4  zawierają informację o </w:t>
      </w:r>
      <w:r w:rsidDel="00000000" w:rsidR="00000000" w:rsidRPr="00000000">
        <w:rPr>
          <w:rFonts w:ascii="Times New Roman" w:cs="Times New Roman" w:eastAsia="Times New Roman" w:hAnsi="Times New Roman"/>
          <w:b w:val="1"/>
          <w:sz w:val="24"/>
          <w:szCs w:val="24"/>
          <w:rtl w:val="0"/>
        </w:rPr>
        <w:t xml:space="preserve">aktualnie</w:t>
      </w:r>
      <w:r w:rsidDel="00000000" w:rsidR="00000000" w:rsidRPr="00000000">
        <w:rPr>
          <w:rFonts w:ascii="Times New Roman" w:cs="Times New Roman" w:eastAsia="Times New Roman" w:hAnsi="Times New Roman"/>
          <w:sz w:val="24"/>
          <w:szCs w:val="24"/>
          <w:rtl w:val="0"/>
        </w:rPr>
        <w:t xml:space="preserve"> rozpatrywanych wnioskach z uwzględnieniem podziału na poszczególne statusy wniosków (zgodnie ze statusami określonymi w tabeli “Lista statusów”). Tabele w podziale na stary i nowy tryb rozpatrywania wniosków.  Oprócz ogólnej liczby wniosków na wymienionych wyżej etapach rozpatrywania, w tabeli wyodrębniono informacje o liczbie wniosków opisanych w ramach poszczególnych projektów.</w:t>
      </w:r>
    </w:p>
    <w:p w:rsidR="00000000" w:rsidDel="00000000" w:rsidP="00000000" w:rsidRDefault="00000000" w:rsidRPr="00000000" w14:paraId="00000175">
      <w:pPr>
        <w:pStyle w:val="Heading3"/>
        <w:numPr>
          <w:ilvl w:val="2"/>
          <w:numId w:val="22"/>
        </w:numPr>
        <w:pBdr>
          <w:top w:space="0" w:sz="0" w:val="nil"/>
          <w:left w:space="0" w:sz="0" w:val="nil"/>
          <w:bottom w:space="0" w:sz="0" w:val="nil"/>
          <w:right w:space="0" w:sz="0" w:val="nil"/>
          <w:between w:space="0" w:sz="0" w:val="nil"/>
        </w:pBdr>
        <w:spacing w:after="240" w:before="200" w:lineRule="auto"/>
        <w:ind w:left="566" w:hanging="141"/>
        <w:jc w:val="both"/>
        <w:rPr/>
      </w:pPr>
      <w:bookmarkStart w:colFirst="0" w:colLast="0" w:name="_heading=h.1t3h5sf" w:id="7"/>
      <w:bookmarkEnd w:id="7"/>
      <w:r w:rsidDel="00000000" w:rsidR="00000000" w:rsidRPr="00000000">
        <w:rPr>
          <w:rtl w:val="0"/>
        </w:rPr>
        <w:t xml:space="preserve">Tabela “Kwalifikacje wskaźniki”</w:t>
      </w:r>
    </w:p>
    <w:p w:rsidR="00000000" w:rsidDel="00000000" w:rsidP="00000000" w:rsidRDefault="00000000" w:rsidRPr="00000000" w14:paraId="00000176">
      <w:pPr>
        <w:pBdr>
          <w:top w:space="0" w:sz="0" w:val="nil"/>
          <w:left w:space="0" w:sz="0" w:val="nil"/>
          <w:bottom w:space="0" w:sz="0" w:val="nil"/>
          <w:right w:space="0" w:sz="0" w:val="nil"/>
          <w:between w:space="0" w:sz="0" w:val="nil"/>
        </w:pBdr>
        <w:spacing w:after="200" w:before="20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Tabela zawiera dane liczone do wskaźnika poszczególnych projektów ZSK. Tabela uzupełniana ręcznie.</w:t>
      </w:r>
    </w:p>
    <w:p w:rsidR="00000000" w:rsidDel="00000000" w:rsidP="00000000" w:rsidRDefault="00000000" w:rsidRPr="00000000" w14:paraId="00000177">
      <w:pPr>
        <w:pStyle w:val="Heading3"/>
        <w:numPr>
          <w:ilvl w:val="2"/>
          <w:numId w:val="22"/>
        </w:numPr>
        <w:pBdr>
          <w:top w:space="0" w:sz="0" w:val="nil"/>
          <w:left w:space="0" w:sz="0" w:val="nil"/>
          <w:bottom w:space="0" w:sz="0" w:val="nil"/>
          <w:right w:space="0" w:sz="0" w:val="nil"/>
          <w:between w:space="0" w:sz="0" w:val="nil"/>
        </w:pBdr>
        <w:spacing w:after="240" w:before="200" w:lineRule="auto"/>
        <w:ind w:left="566" w:hanging="141"/>
        <w:jc w:val="both"/>
        <w:rPr/>
      </w:pPr>
      <w:bookmarkStart w:colFirst="0" w:colLast="0" w:name="_heading=h.4d34og8" w:id="8"/>
      <w:bookmarkEnd w:id="8"/>
      <w:r w:rsidDel="00000000" w:rsidR="00000000" w:rsidRPr="00000000">
        <w:rPr>
          <w:rtl w:val="0"/>
        </w:rPr>
        <w:t xml:space="preserve">Tabela “Projekty kwalifikacji wsp.z IBE”</w:t>
      </w:r>
    </w:p>
    <w:p w:rsidR="00000000" w:rsidDel="00000000" w:rsidP="00000000" w:rsidRDefault="00000000" w:rsidRPr="00000000" w14:paraId="00000178">
      <w:pPr>
        <w:spacing w:after="200" w:before="20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Tabela zawiera projekty kwalifikacji, które zostały opisane przy wsparciu IBE w różnych projektach. Część z wniosków trafiła do rozpatrywania (często pod inną nazwą), część nie została złożona. Obecnie tabela składa się z 10 kolumn:</w:t>
      </w:r>
    </w:p>
    <w:p w:rsidR="00000000" w:rsidDel="00000000" w:rsidP="00000000" w:rsidRDefault="00000000" w:rsidRPr="00000000" w14:paraId="00000179">
      <w:pPr>
        <w:numPr>
          <w:ilvl w:val="0"/>
          <w:numId w:val="13"/>
        </w:numPr>
        <w:spacing w:before="20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Nazwa kwalifikacji</w:t>
      </w:r>
    </w:p>
    <w:p w:rsidR="00000000" w:rsidDel="00000000" w:rsidP="00000000" w:rsidRDefault="00000000" w:rsidRPr="00000000" w14:paraId="0000017A">
      <w:pPr>
        <w:spacing w:after="20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Pole tekstowe. Kolumna zawiera nazwę kwalifikacji.</w:t>
      </w:r>
    </w:p>
    <w:p w:rsidR="00000000" w:rsidDel="00000000" w:rsidP="00000000" w:rsidRDefault="00000000" w:rsidRPr="00000000" w14:paraId="0000017B">
      <w:pPr>
        <w:numPr>
          <w:ilvl w:val="0"/>
          <w:numId w:val="13"/>
        </w:numPr>
        <w:spacing w:before="20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Projekt, w ramach którego podmiot korzysta ze wsparcia IBE</w:t>
      </w:r>
    </w:p>
    <w:p w:rsidR="00000000" w:rsidDel="00000000" w:rsidP="00000000" w:rsidRDefault="00000000" w:rsidRPr="00000000" w14:paraId="0000017C">
      <w:pPr>
        <w:spacing w:after="20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Pole tekstowe. Kolumna zawiera oznaczenie projektu. Uzupełniana na podstawie słownika - tabela “Słownik wskaźnika projektów ZSK”. </w:t>
      </w:r>
    </w:p>
    <w:p w:rsidR="00000000" w:rsidDel="00000000" w:rsidP="00000000" w:rsidRDefault="00000000" w:rsidRPr="00000000" w14:paraId="0000017D">
      <w:pPr>
        <w:numPr>
          <w:ilvl w:val="0"/>
          <w:numId w:val="13"/>
        </w:numPr>
        <w:spacing w:before="20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Kategoria kwalifikacji</w:t>
      </w:r>
    </w:p>
    <w:p w:rsidR="00000000" w:rsidDel="00000000" w:rsidP="00000000" w:rsidRDefault="00000000" w:rsidRPr="00000000" w14:paraId="0000017E">
      <w:pPr>
        <w:spacing w:after="20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Pole tekstowe. Kolumna zawiera nazwę kategorii kwalifikacji cząstkowych spoza systemu oświaty i szkolnictwa wyższego zgodnie z obowiązującymi zapisami ustawy o ZSK, np. wolnorynkowe i sektorowe, uregulowane, rzemieślnicze. Obecnie wyróżnia się kwalifikacje wolnorynkowe i sektorowe</w:t>
      </w:r>
    </w:p>
    <w:p w:rsidR="00000000" w:rsidDel="00000000" w:rsidP="00000000" w:rsidRDefault="00000000" w:rsidRPr="00000000" w14:paraId="0000017F">
      <w:pPr>
        <w:numPr>
          <w:ilvl w:val="0"/>
          <w:numId w:val="13"/>
        </w:numPr>
        <w:spacing w:before="20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Wnioskodawca/Wykonawca</w:t>
      </w:r>
    </w:p>
    <w:p w:rsidR="00000000" w:rsidDel="00000000" w:rsidP="00000000" w:rsidRDefault="00000000" w:rsidRPr="00000000" w14:paraId="00000180">
      <w:pPr>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Pole tekstowe. Kolumna zawiera nazwę podmiotu, który podjął prace nad włączeniem kwalifikacji do ZSK. </w:t>
      </w:r>
    </w:p>
    <w:p w:rsidR="00000000" w:rsidDel="00000000" w:rsidP="00000000" w:rsidRDefault="00000000" w:rsidRPr="00000000" w14:paraId="00000181">
      <w:pPr>
        <w:numPr>
          <w:ilvl w:val="0"/>
          <w:numId w:val="13"/>
        </w:numPr>
        <w:spacing w:before="20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Minister właściwy (orientacyjnie)</w:t>
      </w:r>
    </w:p>
    <w:p w:rsidR="00000000" w:rsidDel="00000000" w:rsidP="00000000" w:rsidRDefault="00000000" w:rsidRPr="00000000" w14:paraId="00000182">
      <w:pPr>
        <w:spacing w:after="20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Pole tekstowe. Kolumna zawiera nazwę ministra, który może zostać wskazany przez podmiot wnioskujący o włączenie kwalifikacji do ZSK.</w:t>
      </w:r>
    </w:p>
    <w:p w:rsidR="00000000" w:rsidDel="00000000" w:rsidP="00000000" w:rsidRDefault="00000000" w:rsidRPr="00000000" w14:paraId="00000183">
      <w:pPr>
        <w:numPr>
          <w:ilvl w:val="0"/>
          <w:numId w:val="13"/>
        </w:numPr>
        <w:spacing w:before="20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Departament w ministerstwie (orientacyjnie)</w:t>
      </w:r>
    </w:p>
    <w:p w:rsidR="00000000" w:rsidDel="00000000" w:rsidP="00000000" w:rsidRDefault="00000000" w:rsidRPr="00000000" w14:paraId="00000184">
      <w:pPr>
        <w:spacing w:after="20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Pole tekstowe. Kolumna aktualnie nie zawiera danych.</w:t>
      </w:r>
    </w:p>
    <w:p w:rsidR="00000000" w:rsidDel="00000000" w:rsidP="00000000" w:rsidRDefault="00000000" w:rsidRPr="00000000" w14:paraId="00000185">
      <w:pPr>
        <w:numPr>
          <w:ilvl w:val="0"/>
          <w:numId w:val="13"/>
        </w:numPr>
        <w:spacing w:before="20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Trwają prace w ZRK TAK/NIE </w:t>
      </w:r>
    </w:p>
    <w:p w:rsidR="00000000" w:rsidDel="00000000" w:rsidP="00000000" w:rsidRDefault="00000000" w:rsidRPr="00000000" w14:paraId="00000186">
      <w:pPr>
        <w:spacing w:after="20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Pole tekstowe. Dwie wartości; TAK lub NIE.</w:t>
      </w:r>
    </w:p>
    <w:p w:rsidR="00000000" w:rsidDel="00000000" w:rsidP="00000000" w:rsidRDefault="00000000" w:rsidRPr="00000000" w14:paraId="00000187">
      <w:pPr>
        <w:numPr>
          <w:ilvl w:val="0"/>
          <w:numId w:val="13"/>
        </w:numPr>
        <w:spacing w:before="20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Data złożenia wniosku w ZRK</w:t>
      </w:r>
    </w:p>
    <w:p w:rsidR="00000000" w:rsidDel="00000000" w:rsidP="00000000" w:rsidRDefault="00000000" w:rsidRPr="00000000" w14:paraId="00000188">
      <w:pPr>
        <w:spacing w:after="20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Pole typu data. Jednak wpisywana jest również wartość tekstowa “nie dotyczy”.</w:t>
      </w:r>
    </w:p>
    <w:p w:rsidR="00000000" w:rsidDel="00000000" w:rsidP="00000000" w:rsidRDefault="00000000" w:rsidRPr="00000000" w14:paraId="00000189">
      <w:pPr>
        <w:numPr>
          <w:ilvl w:val="0"/>
          <w:numId w:val="13"/>
        </w:numPr>
        <w:spacing w:before="20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Data przekazania wniosku do MW (początek procedowania)</w:t>
      </w:r>
    </w:p>
    <w:p w:rsidR="00000000" w:rsidDel="00000000" w:rsidP="00000000" w:rsidRDefault="00000000" w:rsidRPr="00000000" w14:paraId="0000018A">
      <w:pPr>
        <w:spacing w:after="20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Pole typu data. Jednak wpisywana jest również wartość tekstowa “nie dotyczy”.</w:t>
      </w:r>
    </w:p>
    <w:p w:rsidR="00000000" w:rsidDel="00000000" w:rsidP="00000000" w:rsidRDefault="00000000" w:rsidRPr="00000000" w14:paraId="0000018B">
      <w:pPr>
        <w:numPr>
          <w:ilvl w:val="0"/>
          <w:numId w:val="13"/>
        </w:numPr>
        <w:spacing w:before="20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Status wniosku</w:t>
      </w:r>
    </w:p>
    <w:p w:rsidR="00000000" w:rsidDel="00000000" w:rsidP="00000000" w:rsidRDefault="00000000" w:rsidRPr="00000000" w14:paraId="0000018C">
      <w:pPr>
        <w:spacing w:after="20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Pole tekstowe. Wypełniane na podstawie słownika “Lista statusu”.</w:t>
      </w:r>
    </w:p>
    <w:p w:rsidR="00000000" w:rsidDel="00000000" w:rsidP="00000000" w:rsidRDefault="00000000" w:rsidRPr="00000000" w14:paraId="0000018D">
      <w:pPr>
        <w:numPr>
          <w:ilvl w:val="0"/>
          <w:numId w:val="13"/>
        </w:numPr>
        <w:spacing w:before="20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Komentarz</w:t>
      </w:r>
    </w:p>
    <w:p w:rsidR="00000000" w:rsidDel="00000000" w:rsidP="00000000" w:rsidRDefault="00000000" w:rsidRPr="00000000" w14:paraId="0000018E">
      <w:pPr>
        <w:spacing w:after="20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Pole tekstowe. </w:t>
      </w:r>
    </w:p>
    <w:p w:rsidR="00000000" w:rsidDel="00000000" w:rsidP="00000000" w:rsidRDefault="00000000" w:rsidRPr="00000000" w14:paraId="0000018F">
      <w:pPr>
        <w:spacing w:after="200" w:before="20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Aktualnie tabela posiada ok. 100 wierszy. Wiersz zawiera dane dotyczące jednej kwalifikacji. </w:t>
      </w:r>
    </w:p>
    <w:p w:rsidR="00000000" w:rsidDel="00000000" w:rsidP="00000000" w:rsidRDefault="00000000" w:rsidRPr="00000000" w14:paraId="00000190">
      <w:pPr>
        <w:pStyle w:val="Heading3"/>
        <w:numPr>
          <w:ilvl w:val="2"/>
          <w:numId w:val="22"/>
        </w:numPr>
        <w:pBdr>
          <w:top w:space="0" w:sz="0" w:val="nil"/>
          <w:left w:space="0" w:sz="0" w:val="nil"/>
          <w:bottom w:space="0" w:sz="0" w:val="nil"/>
          <w:right w:space="0" w:sz="0" w:val="nil"/>
          <w:between w:space="0" w:sz="0" w:val="nil"/>
        </w:pBdr>
        <w:spacing w:after="240" w:before="200" w:lineRule="auto"/>
        <w:ind w:left="566" w:hanging="141"/>
        <w:jc w:val="both"/>
        <w:rPr/>
      </w:pPr>
      <w:bookmarkStart w:colFirst="0" w:colLast="0" w:name="_heading=h.2s8eyo1" w:id="9"/>
      <w:bookmarkEnd w:id="9"/>
      <w:r w:rsidDel="00000000" w:rsidR="00000000" w:rsidRPr="00000000">
        <w:rPr>
          <w:rtl w:val="0"/>
        </w:rPr>
        <w:t xml:space="preserve">Tabela “Lista statusów”</w:t>
      </w:r>
    </w:p>
    <w:p w:rsidR="00000000" w:rsidDel="00000000" w:rsidP="00000000" w:rsidRDefault="00000000" w:rsidRPr="00000000" w14:paraId="00000191">
      <w:pPr>
        <w:pBdr>
          <w:top w:space="0" w:sz="0" w:val="nil"/>
          <w:left w:space="0" w:sz="0" w:val="nil"/>
          <w:bottom w:space="0" w:sz="0" w:val="nil"/>
          <w:right w:space="0" w:sz="0" w:val="nil"/>
          <w:between w:space="0" w:sz="0" w:val="nil"/>
        </w:pBdr>
        <w:spacing w:after="200" w:before="20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Tabela stanowi słownik statusów, który jest wykorzystywany w innych tabelach. Zawiera obecnie 91 pozycji słownikowych. Statusy są podzielone na te dotyczące starego trybu (liczby arabskie) oraz nowego trybu procedowania (liczby rzymskie). W związku z tym, że żadna kwalifikacja nie została jeszcze włączona wg. nowego trybu, nie ma jeszcze nowego rozporządzenia dot. pracy zespołu ekspertów oraz w żadnym MW nie rozpoczął się przegląd kwalifikacji, może okazać się konieczne dodawanie nowych statusów, które będą uszczegóławiać poszczególne etapy włączania kwalifikacji i ich funkcjonowania. </w:t>
      </w:r>
    </w:p>
    <w:p w:rsidR="00000000" w:rsidDel="00000000" w:rsidP="00000000" w:rsidRDefault="00000000" w:rsidRPr="00000000" w14:paraId="00000192">
      <w:pPr>
        <w:pBdr>
          <w:top w:space="0" w:sz="0" w:val="nil"/>
          <w:left w:space="0" w:sz="0" w:val="nil"/>
          <w:bottom w:space="0" w:sz="0" w:val="nil"/>
          <w:right w:space="0" w:sz="0" w:val="nil"/>
          <w:between w:space="0" w:sz="0" w:val="nil"/>
        </w:pBdr>
        <w:spacing w:after="200" w:before="20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Od początku funkcjonowania Tabeli monitorującej lista wartości słownikowych była rozwijana, w szczególności w celu uwzględnienia zmiany w zakresie procedury rozpatrywania wniosków o włączenie kwalifikacji rynkowych (obecnie wolnorynkowych i sektorowych) do ZSK. </w:t>
      </w:r>
    </w:p>
    <w:p w:rsidR="00000000" w:rsidDel="00000000" w:rsidP="00000000" w:rsidRDefault="00000000" w:rsidRPr="00000000" w14:paraId="00000193">
      <w:pPr>
        <w:pBdr>
          <w:top w:space="0" w:sz="0" w:val="nil"/>
          <w:left w:space="0" w:sz="0" w:val="nil"/>
          <w:bottom w:space="0" w:sz="0" w:val="nil"/>
          <w:right w:space="0" w:sz="0" w:val="nil"/>
          <w:between w:space="0" w:sz="0" w:val="nil"/>
        </w:pBdr>
        <w:spacing w:after="200" w:before="20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Dodatkowo do pliku został dodany arkusz, w którym przedstawiono powiązania między statusami gromadzonymi w systemie ZRK, statusami wynikającymi z ustawy o Zintegrowanym Systemie Kwalifikacji oraz statusami gromadzonymi obecnie w Tabeli Monitorującej.</w:t>
      </w:r>
    </w:p>
    <w:p w:rsidR="00000000" w:rsidDel="00000000" w:rsidP="00000000" w:rsidRDefault="00000000" w:rsidRPr="00000000" w14:paraId="00000194">
      <w:pPr>
        <w:pStyle w:val="Heading3"/>
        <w:numPr>
          <w:ilvl w:val="2"/>
          <w:numId w:val="22"/>
        </w:numPr>
        <w:pBdr>
          <w:top w:space="0" w:sz="0" w:val="nil"/>
          <w:left w:space="0" w:sz="0" w:val="nil"/>
          <w:bottom w:space="0" w:sz="0" w:val="nil"/>
          <w:right w:space="0" w:sz="0" w:val="nil"/>
          <w:between w:space="0" w:sz="0" w:val="nil"/>
        </w:pBdr>
        <w:spacing w:after="240" w:before="200" w:lineRule="auto"/>
        <w:ind w:left="570" w:hanging="150"/>
        <w:jc w:val="both"/>
        <w:rPr/>
      </w:pPr>
      <w:bookmarkStart w:colFirst="0" w:colLast="0" w:name="_heading=h.17dp8vu" w:id="10"/>
      <w:bookmarkEnd w:id="10"/>
      <w:r w:rsidDel="00000000" w:rsidR="00000000" w:rsidRPr="00000000">
        <w:rPr>
          <w:rtl w:val="0"/>
        </w:rPr>
        <w:t xml:space="preserve">Tabela “Lista historia zmian”</w:t>
      </w:r>
    </w:p>
    <w:p w:rsidR="00000000" w:rsidDel="00000000" w:rsidP="00000000" w:rsidRDefault="00000000" w:rsidRPr="00000000" w14:paraId="00000195">
      <w:pPr>
        <w:pBdr>
          <w:top w:space="0" w:sz="0" w:val="nil"/>
          <w:left w:space="0" w:sz="0" w:val="nil"/>
          <w:bottom w:space="0" w:sz="0" w:val="nil"/>
          <w:right w:space="0" w:sz="0" w:val="nil"/>
          <w:between w:space="0" w:sz="0" w:val="nil"/>
        </w:pBdr>
        <w:spacing w:after="200" w:before="20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Tabela, w której do sierpnia 2020 roku spisywano cyklicznie zmiany statusów rozpatrywanych wniosków o włączenie kwalifikacji do ZSK.  Docelowo w narzędziu powinna być możliwość generowania raportu dotyczącego historii prac nad wnioskiem/kwalifikacją w określonym zakresie dat.</w:t>
      </w:r>
    </w:p>
    <w:p w:rsidR="00000000" w:rsidDel="00000000" w:rsidP="00000000" w:rsidRDefault="00000000" w:rsidRPr="00000000" w14:paraId="00000196">
      <w:pPr>
        <w:pStyle w:val="Heading3"/>
        <w:numPr>
          <w:ilvl w:val="2"/>
          <w:numId w:val="22"/>
        </w:numPr>
        <w:pBdr>
          <w:top w:space="0" w:sz="0" w:val="nil"/>
          <w:left w:space="0" w:sz="0" w:val="nil"/>
          <w:bottom w:space="0" w:sz="0" w:val="nil"/>
          <w:right w:space="0" w:sz="0" w:val="nil"/>
          <w:between w:space="0" w:sz="0" w:val="nil"/>
        </w:pBdr>
        <w:spacing w:after="240" w:before="200" w:lineRule="auto"/>
        <w:ind w:left="566" w:hanging="141"/>
        <w:jc w:val="both"/>
        <w:rPr/>
      </w:pPr>
      <w:bookmarkStart w:colFirst="0" w:colLast="0" w:name="_heading=h.3rdcrjn" w:id="11"/>
      <w:bookmarkEnd w:id="11"/>
      <w:r w:rsidDel="00000000" w:rsidR="00000000" w:rsidRPr="00000000">
        <w:rPr>
          <w:rtl w:val="0"/>
        </w:rPr>
        <w:t xml:space="preserve">Tabela “Słownik wskaźnika projektów ZSK”</w:t>
      </w:r>
    </w:p>
    <w:p w:rsidR="00000000" w:rsidDel="00000000" w:rsidP="00000000" w:rsidRDefault="00000000" w:rsidRPr="00000000" w14:paraId="00000197">
      <w:pPr>
        <w:spacing w:after="200" w:before="200" w:lineRule="auto"/>
        <w:jc w:val="both"/>
        <w:rPr/>
      </w:pPr>
      <w:r w:rsidDel="00000000" w:rsidR="00000000" w:rsidRPr="00000000">
        <w:rPr>
          <w:rFonts w:ascii="Times New Roman" w:cs="Times New Roman" w:eastAsia="Times New Roman" w:hAnsi="Times New Roman"/>
          <w:sz w:val="24"/>
          <w:szCs w:val="24"/>
          <w:rtl w:val="0"/>
        </w:rPr>
        <w:t xml:space="preserve">Tabela stanowi słownik oznaczeń projektów, który jest wykorzystywany w innych tabelach. </w:t>
      </w:r>
      <w:r w:rsidDel="00000000" w:rsidR="00000000" w:rsidRPr="00000000">
        <w:rPr>
          <w:rtl w:val="0"/>
        </w:rPr>
      </w:r>
    </w:p>
    <w:p w:rsidR="00000000" w:rsidDel="00000000" w:rsidP="00000000" w:rsidRDefault="00000000" w:rsidRPr="00000000" w14:paraId="00000198">
      <w:pPr>
        <w:pStyle w:val="Heading1"/>
        <w:numPr>
          <w:ilvl w:val="0"/>
          <w:numId w:val="22"/>
        </w:numPr>
        <w:ind w:left="566" w:hanging="283"/>
        <w:rPr/>
      </w:pPr>
      <w:bookmarkStart w:colFirst="0" w:colLast="0" w:name="_heading=h.26in1rg" w:id="12"/>
      <w:bookmarkEnd w:id="12"/>
      <w:r w:rsidDel="00000000" w:rsidR="00000000" w:rsidRPr="00000000">
        <w:rPr>
          <w:rtl w:val="0"/>
        </w:rPr>
        <w:t xml:space="preserve">Przedmiot zamówienia</w:t>
      </w:r>
    </w:p>
    <w:p w:rsidR="00000000" w:rsidDel="00000000" w:rsidP="00000000" w:rsidRDefault="00000000" w:rsidRPr="00000000" w14:paraId="00000199">
      <w:pPr>
        <w:spacing w:after="200" w:before="20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Przedmiotem zamówienia jest wykonanie narzędzia służącego do monitorowania przebiegu procesów włączania kwalifikacji do Zintegrowanego Systemu Kwalifikacji, które są realizowane przez ministrów właściwych, zwanego “Tabelą Monitorującą” (dalej również: </w:t>
      </w:r>
      <w:r w:rsidDel="00000000" w:rsidR="00000000" w:rsidRPr="00000000">
        <w:rPr>
          <w:rFonts w:ascii="Times New Roman" w:cs="Times New Roman" w:eastAsia="Times New Roman" w:hAnsi="Times New Roman"/>
          <w:b w:val="1"/>
          <w:sz w:val="24"/>
          <w:szCs w:val="24"/>
          <w:rtl w:val="0"/>
        </w:rPr>
        <w:t xml:space="preserve">“narzędzie”</w:t>
      </w:r>
      <w:r w:rsidDel="00000000" w:rsidR="00000000" w:rsidRPr="00000000">
        <w:rPr>
          <w:rFonts w:ascii="Times New Roman" w:cs="Times New Roman" w:eastAsia="Times New Roman" w:hAnsi="Times New Roman"/>
          <w:sz w:val="24"/>
          <w:szCs w:val="24"/>
          <w:rtl w:val="0"/>
        </w:rPr>
        <w:t xml:space="preserve">). Narzędzie będzie pełnić funkcję informacyjno-analityczną.</w:t>
      </w:r>
    </w:p>
    <w:p w:rsidR="00000000" w:rsidDel="00000000" w:rsidP="00000000" w:rsidRDefault="00000000" w:rsidRPr="00000000" w14:paraId="0000019A">
      <w:pPr>
        <w:spacing w:after="200" w:before="20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Tabela Monitorująca będzie narzędziem agregującym informacje dotyczące aktualnego stanu procedowania wniosków o włączenie do ZSK kwalifikacji rynkowych (do końca grudnia 2023 r.) oraz kwalifikacji wolnorynkowych i sektorowych (od stycznia 2024 r. w związku ze zmianami w ustawie o ZSK, która wprowadziła te kategorie kwalifikacji). </w:t>
      </w:r>
    </w:p>
    <w:p w:rsidR="00000000" w:rsidDel="00000000" w:rsidP="00000000" w:rsidRDefault="00000000" w:rsidRPr="00000000" w14:paraId="0000019B">
      <w:pPr>
        <w:spacing w:after="200" w:before="20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Stworzenie narzędzia będzie polegać na przekształceniu istniejącego pliku Google  z wieloma arkuszami i tabelami na nowoczesną, intuicyjną aplikację webową, która umożliwi zarządzanie danymi (dodawanie nowych, ich modyfikacje lub usuwanie), ich analizę oraz generowanie raportów.</w:t>
      </w:r>
    </w:p>
    <w:p w:rsidR="00000000" w:rsidDel="00000000" w:rsidP="00000000" w:rsidRDefault="00000000" w:rsidRPr="00000000" w14:paraId="0000019C">
      <w:pPr>
        <w:pBdr>
          <w:top w:space="0" w:sz="0" w:val="nil"/>
          <w:left w:space="0" w:sz="0" w:val="nil"/>
          <w:bottom w:space="0" w:sz="0" w:val="nil"/>
          <w:right w:space="0" w:sz="0" w:val="nil"/>
          <w:between w:space="0" w:sz="0" w:val="nil"/>
        </w:pBdr>
        <w:spacing w:after="200" w:before="20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 ramach realizacji zamówienia powinny zostać zrealizowane minimum następujące prace:</w:t>
      </w:r>
    </w:p>
    <w:p w:rsidR="00000000" w:rsidDel="00000000" w:rsidP="00000000" w:rsidRDefault="00000000" w:rsidRPr="00000000" w14:paraId="0000019D">
      <w:pPr>
        <w:numPr>
          <w:ilvl w:val="0"/>
          <w:numId w:val="8"/>
        </w:numPr>
        <w:pBdr>
          <w:top w:space="0" w:sz="0" w:val="nil"/>
          <w:left w:space="0" w:sz="0" w:val="nil"/>
          <w:bottom w:space="0" w:sz="0" w:val="nil"/>
          <w:right w:space="0" w:sz="0" w:val="nil"/>
          <w:between w:space="0" w:sz="0" w:val="nil"/>
        </w:pBdr>
        <w:spacing w:before="200" w:lineRule="auto"/>
        <w:ind w:left="425" w:hanging="42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przygotowanie bazy danych narzędzia,</w:t>
      </w:r>
    </w:p>
    <w:p w:rsidR="00000000" w:rsidDel="00000000" w:rsidP="00000000" w:rsidRDefault="00000000" w:rsidRPr="00000000" w14:paraId="0000019E">
      <w:pPr>
        <w:numPr>
          <w:ilvl w:val="0"/>
          <w:numId w:val="8"/>
        </w:numPr>
        <w:pBdr>
          <w:top w:space="0" w:sz="0" w:val="nil"/>
          <w:left w:space="0" w:sz="0" w:val="nil"/>
          <w:bottom w:space="0" w:sz="0" w:val="nil"/>
          <w:right w:space="0" w:sz="0" w:val="nil"/>
          <w:between w:space="0" w:sz="0" w:val="nil"/>
        </w:pBdr>
        <w:ind w:left="425" w:hanging="42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migracja danych z plików Google do bazy danych narzędzia,</w:t>
      </w:r>
    </w:p>
    <w:p w:rsidR="00000000" w:rsidDel="00000000" w:rsidP="00000000" w:rsidRDefault="00000000" w:rsidRPr="00000000" w14:paraId="0000019F">
      <w:pPr>
        <w:numPr>
          <w:ilvl w:val="0"/>
          <w:numId w:val="8"/>
        </w:numPr>
        <w:pBdr>
          <w:top w:space="0" w:sz="0" w:val="nil"/>
          <w:left w:space="0" w:sz="0" w:val="nil"/>
          <w:bottom w:space="0" w:sz="0" w:val="nil"/>
          <w:right w:space="0" w:sz="0" w:val="nil"/>
          <w:between w:space="0" w:sz="0" w:val="nil"/>
        </w:pBdr>
        <w:ind w:left="425" w:hanging="42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integracja z innymi źródłami danych IBE,</w:t>
      </w:r>
    </w:p>
    <w:p w:rsidR="00000000" w:rsidDel="00000000" w:rsidP="00000000" w:rsidRDefault="00000000" w:rsidRPr="00000000" w14:paraId="000001A0">
      <w:pPr>
        <w:numPr>
          <w:ilvl w:val="0"/>
          <w:numId w:val="8"/>
        </w:numPr>
        <w:pBdr>
          <w:top w:space="0" w:sz="0" w:val="nil"/>
          <w:left w:space="0" w:sz="0" w:val="nil"/>
          <w:bottom w:space="0" w:sz="0" w:val="nil"/>
          <w:right w:space="0" w:sz="0" w:val="nil"/>
          <w:between w:space="0" w:sz="0" w:val="nil"/>
        </w:pBdr>
        <w:ind w:left="425" w:hanging="42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utworzenie interfejsu użytkownika do przeglądania, edycji oraz dodawania nowych danych,</w:t>
      </w:r>
    </w:p>
    <w:p w:rsidR="00000000" w:rsidDel="00000000" w:rsidP="00000000" w:rsidRDefault="00000000" w:rsidRPr="00000000" w14:paraId="000001A1">
      <w:pPr>
        <w:numPr>
          <w:ilvl w:val="0"/>
          <w:numId w:val="8"/>
        </w:numPr>
        <w:pBdr>
          <w:top w:space="0" w:sz="0" w:val="nil"/>
          <w:left w:space="0" w:sz="0" w:val="nil"/>
          <w:bottom w:space="0" w:sz="0" w:val="nil"/>
          <w:right w:space="0" w:sz="0" w:val="nil"/>
          <w:between w:space="0" w:sz="0" w:val="nil"/>
        </w:pBdr>
        <w:ind w:left="425" w:hanging="42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implementacja systemu zarządzania użytkownikami z różnymi poziomami uprawnień,</w:t>
      </w:r>
    </w:p>
    <w:p w:rsidR="00000000" w:rsidDel="00000000" w:rsidP="00000000" w:rsidRDefault="00000000" w:rsidRPr="00000000" w14:paraId="000001A2">
      <w:pPr>
        <w:numPr>
          <w:ilvl w:val="0"/>
          <w:numId w:val="8"/>
        </w:numPr>
        <w:pBdr>
          <w:top w:space="0" w:sz="0" w:val="nil"/>
          <w:left w:space="0" w:sz="0" w:val="nil"/>
          <w:bottom w:space="0" w:sz="0" w:val="nil"/>
          <w:right w:space="0" w:sz="0" w:val="nil"/>
          <w:between w:space="0" w:sz="0" w:val="nil"/>
        </w:pBdr>
        <w:ind w:left="425" w:hanging="42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zapewnienie historii przetwarzania danych (logowanie zmian),</w:t>
      </w:r>
    </w:p>
    <w:p w:rsidR="00000000" w:rsidDel="00000000" w:rsidP="00000000" w:rsidRDefault="00000000" w:rsidRPr="00000000" w14:paraId="000001A3">
      <w:pPr>
        <w:numPr>
          <w:ilvl w:val="0"/>
          <w:numId w:val="8"/>
        </w:numPr>
        <w:pBdr>
          <w:top w:space="0" w:sz="0" w:val="nil"/>
          <w:left w:space="0" w:sz="0" w:val="nil"/>
          <w:bottom w:space="0" w:sz="0" w:val="nil"/>
          <w:right w:space="0" w:sz="0" w:val="nil"/>
          <w:between w:space="0" w:sz="0" w:val="nil"/>
        </w:pBdr>
        <w:ind w:left="425" w:hanging="42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możliwość generowania raportów,</w:t>
      </w:r>
    </w:p>
    <w:p w:rsidR="00000000" w:rsidDel="00000000" w:rsidP="00000000" w:rsidRDefault="00000000" w:rsidRPr="00000000" w14:paraId="000001A4">
      <w:pPr>
        <w:numPr>
          <w:ilvl w:val="0"/>
          <w:numId w:val="8"/>
        </w:numPr>
        <w:pBdr>
          <w:top w:space="0" w:sz="0" w:val="nil"/>
          <w:left w:space="0" w:sz="0" w:val="nil"/>
          <w:bottom w:space="0" w:sz="0" w:val="nil"/>
          <w:right w:space="0" w:sz="0" w:val="nil"/>
          <w:between w:space="0" w:sz="0" w:val="nil"/>
        </w:pBdr>
        <w:spacing w:after="200" w:lineRule="auto"/>
        <w:ind w:left="425" w:hanging="42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inne funkcjonalności wspierające pracę użytkowników (opcjonalnie).</w:t>
      </w:r>
    </w:p>
    <w:p w:rsidR="00000000" w:rsidDel="00000000" w:rsidP="00000000" w:rsidRDefault="00000000" w:rsidRPr="00000000" w14:paraId="000001A5">
      <w:pPr>
        <w:pStyle w:val="Heading2"/>
        <w:numPr>
          <w:ilvl w:val="1"/>
          <w:numId w:val="22"/>
        </w:numPr>
        <w:pBdr>
          <w:top w:space="0" w:sz="0" w:val="nil"/>
          <w:left w:space="0" w:sz="0" w:val="nil"/>
          <w:bottom w:space="0" w:sz="0" w:val="nil"/>
          <w:right w:space="0" w:sz="0" w:val="nil"/>
          <w:between w:space="0" w:sz="0" w:val="nil"/>
        </w:pBdr>
        <w:ind w:left="566" w:hanging="283"/>
        <w:rPr>
          <w:rFonts w:ascii="Times New Roman" w:cs="Times New Roman" w:eastAsia="Times New Roman" w:hAnsi="Times New Roman"/>
          <w:b w:val="1"/>
        </w:rPr>
      </w:pPr>
      <w:bookmarkStart w:colFirst="0" w:colLast="0" w:name="_heading=h.lnxbz9" w:id="13"/>
      <w:bookmarkEnd w:id="13"/>
      <w:r w:rsidDel="00000000" w:rsidR="00000000" w:rsidRPr="00000000">
        <w:rPr>
          <w:rFonts w:ascii="Times New Roman" w:cs="Times New Roman" w:eastAsia="Times New Roman" w:hAnsi="Times New Roman"/>
          <w:b w:val="1"/>
          <w:rtl w:val="0"/>
        </w:rPr>
        <w:t xml:space="preserve">Elementy i funkcjonalności narzędzia</w:t>
      </w:r>
    </w:p>
    <w:p w:rsidR="00000000" w:rsidDel="00000000" w:rsidP="00000000" w:rsidRDefault="00000000" w:rsidRPr="00000000" w14:paraId="000001A6">
      <w:pPr>
        <w:pStyle w:val="Heading3"/>
        <w:numPr>
          <w:ilvl w:val="2"/>
          <w:numId w:val="22"/>
        </w:numPr>
        <w:ind w:left="566" w:hanging="141"/>
        <w:rPr/>
      </w:pPr>
      <w:bookmarkStart w:colFirst="0" w:colLast="0" w:name="_heading=h.35nkun2" w:id="14"/>
      <w:bookmarkEnd w:id="14"/>
      <w:r w:rsidDel="00000000" w:rsidR="00000000" w:rsidRPr="00000000">
        <w:rPr>
          <w:rtl w:val="0"/>
        </w:rPr>
        <w:t xml:space="preserve">Baza danych narzędzia</w:t>
      </w:r>
    </w:p>
    <w:p w:rsidR="00000000" w:rsidDel="00000000" w:rsidP="00000000" w:rsidRDefault="00000000" w:rsidRPr="00000000" w14:paraId="000001A7">
      <w:pPr>
        <w:pBdr>
          <w:top w:space="0" w:sz="0" w:val="nil"/>
          <w:left w:space="0" w:sz="0" w:val="nil"/>
          <w:bottom w:space="0" w:sz="0" w:val="nil"/>
          <w:right w:space="0" w:sz="0" w:val="nil"/>
          <w:between w:space="0" w:sz="0" w:val="nil"/>
        </w:pBdr>
        <w:spacing w:after="200" w:before="20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Podstawą narzędzia będzie baza danych, która będzie zawierała dane pobrane z obecnie funkcjonującej Tabeli Monitorującej, z bazy danych Zintegrowanego Rejestru Kwalifikacji oraz bazy danych narzędzia E-Wnioski, dane pobrane z Monitora Polskiego o obwieszczeniach dotyczących kwalifikacji (obwieszczenie o włączeniu kwalifikacji do ZSK, obwieszczenie o przekształceniu kwalifikacji, obwieszczenie o przeglądzie kwalifikacji, obwieszczenie o zmianie obwieszczenia; pobierany link do obwieszczenia oraz pdf z jego treścią). Zamawiający zakłada, że dane w Tabeli Monitorującej w dalszym ciągu będą mogły być modyfikowane (m.in. uzupełniane i korygowane)  przez użytkowników narzędzia, którzy będą mieli prawa do edycji danych. Ostateczny zakres danych pobieranych z innych narzędzi i systemów do ustalenia z Wykonawcą po podpisaniu umowy.</w:t>
      </w:r>
    </w:p>
    <w:p w:rsidR="00000000" w:rsidDel="00000000" w:rsidP="00000000" w:rsidRDefault="00000000" w:rsidRPr="00000000" w14:paraId="000001A8">
      <w:pPr>
        <w:pStyle w:val="Heading4"/>
        <w:numPr>
          <w:ilvl w:val="3"/>
          <w:numId w:val="22"/>
        </w:numPr>
        <w:pBdr>
          <w:top w:space="0" w:sz="0" w:val="nil"/>
          <w:left w:space="0" w:sz="0" w:val="nil"/>
          <w:bottom w:space="0" w:sz="0" w:val="nil"/>
          <w:right w:space="0" w:sz="0" w:val="nil"/>
          <w:between w:space="0" w:sz="0" w:val="nil"/>
        </w:pBdr>
        <w:spacing w:before="240" w:lineRule="auto"/>
        <w:ind w:left="708" w:hanging="141"/>
        <w:rPr>
          <w:color w:val="000000"/>
        </w:rPr>
      </w:pPr>
      <w:bookmarkStart w:colFirst="0" w:colLast="0" w:name="_heading=h.1ksv4uv" w:id="15"/>
      <w:bookmarkEnd w:id="15"/>
      <w:r w:rsidDel="00000000" w:rsidR="00000000" w:rsidRPr="00000000">
        <w:rPr>
          <w:color w:val="000000"/>
          <w:rtl w:val="0"/>
        </w:rPr>
        <w:t xml:space="preserve">Projektowanie bazy danych narzędzia</w:t>
      </w:r>
    </w:p>
    <w:p w:rsidR="00000000" w:rsidDel="00000000" w:rsidP="00000000" w:rsidRDefault="00000000" w:rsidRPr="00000000" w14:paraId="000001A9">
      <w:pPr>
        <w:numPr>
          <w:ilvl w:val="0"/>
          <w:numId w:val="1"/>
        </w:numPr>
        <w:pBdr>
          <w:top w:space="0" w:sz="0" w:val="nil"/>
          <w:left w:space="0" w:sz="0" w:val="nil"/>
          <w:bottom w:space="0" w:sz="0" w:val="nil"/>
          <w:right w:space="0" w:sz="0" w:val="nil"/>
          <w:between w:space="0" w:sz="0" w:val="nil"/>
        </w:pBdr>
        <w:ind w:left="714" w:hanging="35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Modelowanie danych: </w:t>
      </w:r>
      <w:r w:rsidDel="00000000" w:rsidR="00000000" w:rsidRPr="00000000">
        <w:rPr>
          <w:rFonts w:ascii="Times New Roman" w:cs="Times New Roman" w:eastAsia="Times New Roman" w:hAnsi="Times New Roman"/>
          <w:sz w:val="24"/>
          <w:szCs w:val="24"/>
          <w:rtl w:val="0"/>
        </w:rPr>
        <w:t xml:space="preserve">Zaprojektowanie schematu relacyjnej bazy danych narzędzia, której struktura umożliwi efektywne gromadzenie, przechowywanie i analizowanie danych gromadzonych aktualnie w plikach Google (obecnej Tabeli Monitorującej) i uwzględni relacje między tabelami (zawartymi w bazie danych) oraz normalizację danych (odwzorowanie lub modyfikacja obecnej struktury). W szczególności może zaistnieć potrzeba np.: rozdzielenia informacji gromadzonych obecnie w jednym polu, na kilka pól wzajemnie ze sobą powiązanych.</w:t>
      </w:r>
    </w:p>
    <w:p w:rsidR="00000000" w:rsidDel="00000000" w:rsidP="00000000" w:rsidRDefault="00000000" w:rsidRPr="00000000" w14:paraId="000001AA">
      <w:pPr>
        <w:pBdr>
          <w:top w:space="0" w:sz="0" w:val="nil"/>
          <w:left w:space="0" w:sz="0" w:val="nil"/>
          <w:bottom w:space="0" w:sz="0" w:val="nil"/>
          <w:right w:space="0" w:sz="0" w:val="nil"/>
          <w:between w:space="0" w:sz="0" w:val="nil"/>
        </w:pBdr>
        <w:ind w:left="708"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Zaproponowany przez Wykonawcę schemat relacyjnej bazy danych powinien być przejrzysty i łatwy do interpretacji, tak by rozwijanie bazy ze względu na ewentualne przyszłe potrzeby Zamawiającego przez Wykonawcę albo osoby bądź podmioty, które będą odpowiedzialne za jej rozwój po zakończeniu umowy z Wykonawcą, nie nastręczało trudności.</w:t>
      </w:r>
    </w:p>
    <w:p w:rsidR="00000000" w:rsidDel="00000000" w:rsidP="00000000" w:rsidRDefault="00000000" w:rsidRPr="00000000" w14:paraId="000001AB">
      <w:pPr>
        <w:numPr>
          <w:ilvl w:val="0"/>
          <w:numId w:val="1"/>
        </w:numPr>
        <w:pBdr>
          <w:top w:space="0" w:sz="0" w:val="nil"/>
          <w:left w:space="0" w:sz="0" w:val="nil"/>
          <w:bottom w:space="0" w:sz="0" w:val="nil"/>
          <w:right w:space="0" w:sz="0" w:val="nil"/>
          <w:between w:space="0" w:sz="0" w:val="nil"/>
        </w:pBdr>
        <w:ind w:left="714" w:hanging="35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Tworzenie tabel:</w:t>
      </w:r>
      <w:r w:rsidDel="00000000" w:rsidR="00000000" w:rsidRPr="00000000">
        <w:rPr>
          <w:rFonts w:ascii="Times New Roman" w:cs="Times New Roman" w:eastAsia="Times New Roman" w:hAnsi="Times New Roman"/>
          <w:sz w:val="24"/>
          <w:szCs w:val="24"/>
          <w:rtl w:val="0"/>
        </w:rPr>
        <w:t xml:space="preserve"> Utworzenie odpowiednich tabel w bazie danych narzędzia, uwzględniając m.in. klucze podstawowe, klucze obce, indeksy, słowniki oraz inne niezbędne ograniczenia, aby zapewnić integralność i spójność danych.</w:t>
      </w:r>
    </w:p>
    <w:p w:rsidR="00000000" w:rsidDel="00000000" w:rsidP="00000000" w:rsidRDefault="00000000" w:rsidRPr="00000000" w14:paraId="000001AC">
      <w:pPr>
        <w:numPr>
          <w:ilvl w:val="0"/>
          <w:numId w:val="1"/>
        </w:numPr>
        <w:pBdr>
          <w:top w:space="0" w:sz="0" w:val="nil"/>
          <w:left w:space="0" w:sz="0" w:val="nil"/>
          <w:bottom w:space="0" w:sz="0" w:val="nil"/>
          <w:right w:space="0" w:sz="0" w:val="nil"/>
          <w:between w:space="0" w:sz="0" w:val="nil"/>
        </w:pBdr>
        <w:ind w:left="714" w:hanging="35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Tworzenie słowników:</w:t>
      </w:r>
      <w:r w:rsidDel="00000000" w:rsidR="00000000" w:rsidRPr="00000000">
        <w:rPr>
          <w:rFonts w:ascii="Times New Roman" w:cs="Times New Roman" w:eastAsia="Times New Roman" w:hAnsi="Times New Roman"/>
          <w:sz w:val="24"/>
          <w:szCs w:val="24"/>
          <w:rtl w:val="0"/>
        </w:rPr>
        <w:t xml:space="preserve"> Stworzenie we współpracy z Zamawiającym słowników do możliwie szerokiego zakresu pól (ograniczenie możliwości ręcznego wypełniania danych). W bazie danych powinny zostać zapisane relacje między odpowiednimi słownikami, tak aby wybór jednej wartości wpływał na możliwość wyboru kolejnych wartości w kolejnych polach. Narzędzie musi umożliwiać zarządzanie słownikami (np. dodawanie, modyfikacja rekordów w słownikach; zapisywanie historii zmian; określenie, które rekordy mają pojawiać się do wyboru).</w:t>
      </w:r>
    </w:p>
    <w:p w:rsidR="00000000" w:rsidDel="00000000" w:rsidP="00000000" w:rsidRDefault="00000000" w:rsidRPr="00000000" w14:paraId="000001AD">
      <w:pPr>
        <w:pStyle w:val="Heading3"/>
        <w:numPr>
          <w:ilvl w:val="2"/>
          <w:numId w:val="22"/>
        </w:numPr>
        <w:pBdr>
          <w:top w:space="0" w:sz="0" w:val="nil"/>
          <w:left w:space="0" w:sz="0" w:val="nil"/>
          <w:bottom w:space="0" w:sz="0" w:val="nil"/>
          <w:right w:space="0" w:sz="0" w:val="nil"/>
          <w:between w:space="0" w:sz="0" w:val="nil"/>
        </w:pBdr>
        <w:spacing w:after="80" w:lineRule="auto"/>
        <w:ind w:left="566" w:hanging="141"/>
        <w:rPr>
          <w:color w:val="000000"/>
        </w:rPr>
      </w:pPr>
      <w:bookmarkStart w:colFirst="0" w:colLast="0" w:name="_heading=h.44sinio" w:id="16"/>
      <w:bookmarkEnd w:id="16"/>
      <w:r w:rsidDel="00000000" w:rsidR="00000000" w:rsidRPr="00000000">
        <w:rPr>
          <w:rtl w:val="0"/>
        </w:rPr>
        <w:t xml:space="preserve">Migracja danych z obecnej Tabeli Monitorującej</w:t>
      </w:r>
      <w:r w:rsidDel="00000000" w:rsidR="00000000" w:rsidRPr="00000000">
        <w:rPr>
          <w:rtl w:val="0"/>
        </w:rPr>
      </w:r>
    </w:p>
    <w:p w:rsidR="00000000" w:rsidDel="00000000" w:rsidP="00000000" w:rsidRDefault="00000000" w:rsidRPr="00000000" w14:paraId="000001AE">
      <w:pPr>
        <w:pStyle w:val="Heading4"/>
        <w:numPr>
          <w:ilvl w:val="3"/>
          <w:numId w:val="22"/>
        </w:numPr>
        <w:pBdr>
          <w:top w:space="0" w:sz="0" w:val="nil"/>
          <w:left w:space="0" w:sz="0" w:val="nil"/>
          <w:bottom w:space="0" w:sz="0" w:val="nil"/>
          <w:right w:space="0" w:sz="0" w:val="nil"/>
          <w:between w:space="0" w:sz="0" w:val="nil"/>
        </w:pBdr>
        <w:ind w:left="708" w:hanging="141"/>
        <w:rPr>
          <w:color w:val="000000"/>
        </w:rPr>
      </w:pPr>
      <w:bookmarkStart w:colFirst="0" w:colLast="0" w:name="_heading=h.2jxsxqh" w:id="17"/>
      <w:bookmarkEnd w:id="17"/>
      <w:r w:rsidDel="00000000" w:rsidR="00000000" w:rsidRPr="00000000">
        <w:rPr>
          <w:color w:val="000000"/>
          <w:rtl w:val="0"/>
        </w:rPr>
        <w:t xml:space="preserve">Analiza danych źródłowych</w:t>
      </w:r>
    </w:p>
    <w:p w:rsidR="00000000" w:rsidDel="00000000" w:rsidP="00000000" w:rsidRDefault="00000000" w:rsidRPr="00000000" w14:paraId="000001AF">
      <w:pPr>
        <w:numPr>
          <w:ilvl w:val="0"/>
          <w:numId w:val="1"/>
        </w:numPr>
        <w:pBdr>
          <w:top w:space="0" w:sz="0" w:val="nil"/>
          <w:left w:space="0" w:sz="0" w:val="nil"/>
          <w:bottom w:space="0" w:sz="0" w:val="nil"/>
          <w:right w:space="0" w:sz="0" w:val="nil"/>
          <w:between w:space="0" w:sz="0" w:val="nil"/>
        </w:pBdr>
        <w:ind w:left="714" w:hanging="35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Inwentaryzacja danych: </w:t>
      </w:r>
      <w:r w:rsidDel="00000000" w:rsidR="00000000" w:rsidRPr="00000000">
        <w:rPr>
          <w:rFonts w:ascii="Times New Roman" w:cs="Times New Roman" w:eastAsia="Times New Roman" w:hAnsi="Times New Roman"/>
          <w:sz w:val="24"/>
          <w:szCs w:val="24"/>
          <w:rtl w:val="0"/>
        </w:rPr>
        <w:t xml:space="preserve">Dokładna analiza istniejących plików Google, zrozumienie struktury danych, relacji między nimi oraz zakresu informacji zawartych w plikach.</w:t>
      </w:r>
    </w:p>
    <w:p w:rsidR="00000000" w:rsidDel="00000000" w:rsidP="00000000" w:rsidRDefault="00000000" w:rsidRPr="00000000" w14:paraId="000001B0">
      <w:pPr>
        <w:numPr>
          <w:ilvl w:val="0"/>
          <w:numId w:val="1"/>
        </w:numPr>
        <w:pBdr>
          <w:top w:space="0" w:sz="0" w:val="nil"/>
          <w:left w:space="0" w:sz="0" w:val="nil"/>
          <w:bottom w:space="0" w:sz="0" w:val="nil"/>
          <w:right w:space="0" w:sz="0" w:val="nil"/>
          <w:between w:space="0" w:sz="0" w:val="nil"/>
        </w:pBdr>
        <w:ind w:left="714" w:hanging="35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Ocena jakości danych: </w:t>
      </w:r>
      <w:r w:rsidDel="00000000" w:rsidR="00000000" w:rsidRPr="00000000">
        <w:rPr>
          <w:rFonts w:ascii="Times New Roman" w:cs="Times New Roman" w:eastAsia="Times New Roman" w:hAnsi="Times New Roman"/>
          <w:sz w:val="24"/>
          <w:szCs w:val="24"/>
          <w:rtl w:val="0"/>
        </w:rPr>
        <w:t xml:space="preserve">Sprawdzenie jakości danych w plikach Google, identyfikacja brakujących wartości, duplikatów, błędnych danych i innych problemów, które mogą wymagać korekty przed migracją.</w:t>
      </w:r>
    </w:p>
    <w:p w:rsidR="00000000" w:rsidDel="00000000" w:rsidP="00000000" w:rsidRDefault="00000000" w:rsidRPr="00000000" w14:paraId="000001B1">
      <w:pPr>
        <w:numPr>
          <w:ilvl w:val="0"/>
          <w:numId w:val="1"/>
        </w:numPr>
        <w:pBdr>
          <w:top w:space="0" w:sz="0" w:val="nil"/>
          <w:left w:space="0" w:sz="0" w:val="nil"/>
          <w:bottom w:space="0" w:sz="0" w:val="nil"/>
          <w:right w:space="0" w:sz="0" w:val="nil"/>
          <w:between w:space="0" w:sz="0" w:val="nil"/>
        </w:pBdr>
        <w:spacing w:after="200" w:lineRule="auto"/>
        <w:ind w:left="714" w:hanging="35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Przygotowanie plików do migracji:</w:t>
      </w:r>
      <w:r w:rsidDel="00000000" w:rsidR="00000000" w:rsidRPr="00000000">
        <w:rPr>
          <w:rFonts w:ascii="Times New Roman" w:cs="Times New Roman" w:eastAsia="Times New Roman" w:hAnsi="Times New Roman"/>
          <w:sz w:val="24"/>
          <w:szCs w:val="24"/>
          <w:rtl w:val="0"/>
        </w:rPr>
        <w:t xml:space="preserve"> Wsparcie Zamawiającego we właściwym przygotowaniu plików migracyjnych, w szczególności poprzez określenie formatów dla określonych danych, wyspecyfikowanie kolumn (np. w przypadku konieczności rozdzielenia wartości gromadzonych aktualnie w jednej kolumnie na kilka kolumn w bazie danych) itp.</w:t>
      </w:r>
    </w:p>
    <w:p w:rsidR="00000000" w:rsidDel="00000000" w:rsidP="00000000" w:rsidRDefault="00000000" w:rsidRPr="00000000" w14:paraId="000001B2">
      <w:pPr>
        <w:pStyle w:val="Heading4"/>
        <w:numPr>
          <w:ilvl w:val="3"/>
          <w:numId w:val="22"/>
        </w:numPr>
        <w:pBdr>
          <w:top w:space="0" w:sz="0" w:val="nil"/>
          <w:left w:space="0" w:sz="0" w:val="nil"/>
          <w:bottom w:space="0" w:sz="0" w:val="nil"/>
          <w:right w:space="0" w:sz="0" w:val="nil"/>
          <w:between w:space="0" w:sz="0" w:val="nil"/>
        </w:pBdr>
        <w:ind w:left="708" w:hanging="141"/>
        <w:rPr>
          <w:color w:val="000000"/>
        </w:rPr>
      </w:pPr>
      <w:bookmarkStart w:colFirst="0" w:colLast="0" w:name="_heading=h.z337ya" w:id="18"/>
      <w:bookmarkEnd w:id="18"/>
      <w:r w:rsidDel="00000000" w:rsidR="00000000" w:rsidRPr="00000000">
        <w:rPr>
          <w:color w:val="000000"/>
          <w:rtl w:val="0"/>
        </w:rPr>
        <w:t xml:space="preserve">Przygotowanie skryptów migracyjnych</w:t>
      </w:r>
    </w:p>
    <w:p w:rsidR="00000000" w:rsidDel="00000000" w:rsidP="00000000" w:rsidRDefault="00000000" w:rsidRPr="00000000" w14:paraId="000001B3">
      <w:pPr>
        <w:numPr>
          <w:ilvl w:val="0"/>
          <w:numId w:val="1"/>
        </w:numPr>
        <w:pBdr>
          <w:top w:space="0" w:sz="0" w:val="nil"/>
          <w:left w:space="0" w:sz="0" w:val="nil"/>
          <w:bottom w:space="0" w:sz="0" w:val="nil"/>
          <w:right w:space="0" w:sz="0" w:val="nil"/>
          <w:between w:space="0" w:sz="0" w:val="nil"/>
        </w:pBdr>
        <w:ind w:left="714" w:hanging="35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Mapowanie danych: </w:t>
      </w:r>
      <w:r w:rsidDel="00000000" w:rsidR="00000000" w:rsidRPr="00000000">
        <w:rPr>
          <w:rFonts w:ascii="Times New Roman" w:cs="Times New Roman" w:eastAsia="Times New Roman" w:hAnsi="Times New Roman"/>
          <w:sz w:val="24"/>
          <w:szCs w:val="24"/>
          <w:rtl w:val="0"/>
        </w:rPr>
        <w:t xml:space="preserve">Opracowanie mapowania danych między plikami Google (obecnej Tabeli Monitorującej) a strukturą bazy danych tworzonego narzędzia, określenie, które kolumny w plikach Google odpowiadają którym kolumnom w bazie danych narzędzia.</w:t>
      </w:r>
    </w:p>
    <w:p w:rsidR="00000000" w:rsidDel="00000000" w:rsidP="00000000" w:rsidRDefault="00000000" w:rsidRPr="00000000" w14:paraId="000001B4">
      <w:pPr>
        <w:numPr>
          <w:ilvl w:val="0"/>
          <w:numId w:val="1"/>
        </w:numPr>
        <w:pBdr>
          <w:top w:space="0" w:sz="0" w:val="nil"/>
          <w:left w:space="0" w:sz="0" w:val="nil"/>
          <w:bottom w:space="0" w:sz="0" w:val="nil"/>
          <w:right w:space="0" w:sz="0" w:val="nil"/>
          <w:between w:space="0" w:sz="0" w:val="nil"/>
        </w:pBdr>
        <w:spacing w:after="200" w:lineRule="auto"/>
        <w:ind w:left="714" w:hanging="35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Skrypty ETL (Extract, Transform, Load): </w:t>
      </w:r>
      <w:r w:rsidDel="00000000" w:rsidR="00000000" w:rsidRPr="00000000">
        <w:rPr>
          <w:rFonts w:ascii="Times New Roman" w:cs="Times New Roman" w:eastAsia="Times New Roman" w:hAnsi="Times New Roman"/>
          <w:sz w:val="24"/>
          <w:szCs w:val="24"/>
          <w:rtl w:val="0"/>
        </w:rPr>
        <w:t xml:space="preserve">Utworzenie skryptów ETL, które będą odpowiedzialne za ekstrakcję danych z plików Google (obecnej Tabeli Monitorującej), transformację danych (np. czyszczenie, formatowanie, agregowanie) oraz ładowanie ich do bazy danych tworzonego narzędzia.</w:t>
      </w:r>
    </w:p>
    <w:p w:rsidR="00000000" w:rsidDel="00000000" w:rsidP="00000000" w:rsidRDefault="00000000" w:rsidRPr="00000000" w14:paraId="000001B5">
      <w:pPr>
        <w:pStyle w:val="Heading4"/>
        <w:numPr>
          <w:ilvl w:val="3"/>
          <w:numId w:val="22"/>
        </w:numPr>
        <w:pBdr>
          <w:top w:space="0" w:sz="0" w:val="nil"/>
          <w:left w:space="0" w:sz="0" w:val="nil"/>
          <w:bottom w:space="0" w:sz="0" w:val="nil"/>
          <w:right w:space="0" w:sz="0" w:val="nil"/>
          <w:between w:space="0" w:sz="0" w:val="nil"/>
        </w:pBdr>
        <w:ind w:left="708" w:hanging="141"/>
        <w:rPr>
          <w:color w:val="000000"/>
        </w:rPr>
      </w:pPr>
      <w:bookmarkStart w:colFirst="0" w:colLast="0" w:name="_heading=h.3j2qqm3" w:id="19"/>
      <w:bookmarkEnd w:id="19"/>
      <w:r w:rsidDel="00000000" w:rsidR="00000000" w:rsidRPr="00000000">
        <w:rPr>
          <w:color w:val="000000"/>
          <w:rtl w:val="0"/>
        </w:rPr>
        <w:t xml:space="preserve">Plan migracji</w:t>
      </w:r>
    </w:p>
    <w:p w:rsidR="00000000" w:rsidDel="00000000" w:rsidP="00000000" w:rsidRDefault="00000000" w:rsidRPr="00000000" w14:paraId="000001B6">
      <w:pPr>
        <w:numPr>
          <w:ilvl w:val="0"/>
          <w:numId w:val="1"/>
        </w:numPr>
        <w:pBdr>
          <w:top w:space="0" w:sz="0" w:val="nil"/>
          <w:left w:space="0" w:sz="0" w:val="nil"/>
          <w:bottom w:space="0" w:sz="0" w:val="nil"/>
          <w:right w:space="0" w:sz="0" w:val="nil"/>
          <w:between w:space="0" w:sz="0" w:val="nil"/>
        </w:pBdr>
        <w:ind w:left="714" w:hanging="35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Dokumentacja migracji: </w:t>
      </w:r>
      <w:r w:rsidDel="00000000" w:rsidR="00000000" w:rsidRPr="00000000">
        <w:rPr>
          <w:rFonts w:ascii="Times New Roman" w:cs="Times New Roman" w:eastAsia="Times New Roman" w:hAnsi="Times New Roman"/>
          <w:sz w:val="24"/>
          <w:szCs w:val="24"/>
          <w:rtl w:val="0"/>
        </w:rPr>
        <w:t xml:space="preserve">Utworzenie szczegółowej dokumentacji procesu migracji, w tym krok po kroku opis wszystkich działań, używanych narzędzi, skryptów migracyjnych oraz sposobu weryfikacji poprawności migracji.</w:t>
      </w:r>
    </w:p>
    <w:p w:rsidR="00000000" w:rsidDel="00000000" w:rsidP="00000000" w:rsidRDefault="00000000" w:rsidRPr="00000000" w14:paraId="000001B7">
      <w:pPr>
        <w:numPr>
          <w:ilvl w:val="0"/>
          <w:numId w:val="1"/>
        </w:numPr>
        <w:pBdr>
          <w:top w:space="0" w:sz="0" w:val="nil"/>
          <w:left w:space="0" w:sz="0" w:val="nil"/>
          <w:bottom w:space="0" w:sz="0" w:val="nil"/>
          <w:right w:space="0" w:sz="0" w:val="nil"/>
          <w:between w:space="0" w:sz="0" w:val="nil"/>
        </w:pBdr>
        <w:ind w:left="714" w:hanging="35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Harmonogram migracji: </w:t>
      </w:r>
      <w:r w:rsidDel="00000000" w:rsidR="00000000" w:rsidRPr="00000000">
        <w:rPr>
          <w:rFonts w:ascii="Times New Roman" w:cs="Times New Roman" w:eastAsia="Times New Roman" w:hAnsi="Times New Roman"/>
          <w:sz w:val="24"/>
          <w:szCs w:val="24"/>
          <w:rtl w:val="0"/>
        </w:rPr>
        <w:t xml:space="preserve">Opracowanie szczegółowego harmonogramu migracji danych, uwzględniającego wszystkie etapy procesu migracji, testy, weryfikacje.</w:t>
      </w:r>
    </w:p>
    <w:p w:rsidR="00000000" w:rsidDel="00000000" w:rsidP="00000000" w:rsidRDefault="00000000" w:rsidRPr="00000000" w14:paraId="000001B8">
      <w:pPr>
        <w:numPr>
          <w:ilvl w:val="0"/>
          <w:numId w:val="1"/>
        </w:numPr>
        <w:pBdr>
          <w:top w:space="0" w:sz="0" w:val="nil"/>
          <w:left w:space="0" w:sz="0" w:val="nil"/>
          <w:bottom w:space="0" w:sz="0" w:val="nil"/>
          <w:right w:space="0" w:sz="0" w:val="nil"/>
          <w:between w:space="0" w:sz="0" w:val="nil"/>
        </w:pBdr>
        <w:spacing w:after="200" w:lineRule="auto"/>
        <w:ind w:left="714" w:hanging="35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Zarządzanie ryzykiem: </w:t>
      </w:r>
      <w:r w:rsidDel="00000000" w:rsidR="00000000" w:rsidRPr="00000000">
        <w:rPr>
          <w:rFonts w:ascii="Times New Roman" w:cs="Times New Roman" w:eastAsia="Times New Roman" w:hAnsi="Times New Roman"/>
          <w:sz w:val="24"/>
          <w:szCs w:val="24"/>
          <w:rtl w:val="0"/>
        </w:rPr>
        <w:t xml:space="preserve">Identyfikacja potencjalnych ryzyk związanych z migracją danych oraz opracowanie planu zarządzania ryzykiem, aby minimalizować wpływ ewentualnych problemów na cały proces migracji.</w:t>
      </w:r>
    </w:p>
    <w:p w:rsidR="00000000" w:rsidDel="00000000" w:rsidP="00000000" w:rsidRDefault="00000000" w:rsidRPr="00000000" w14:paraId="000001B9">
      <w:pPr>
        <w:pStyle w:val="Heading4"/>
        <w:numPr>
          <w:ilvl w:val="3"/>
          <w:numId w:val="22"/>
        </w:numPr>
        <w:ind w:left="1440" w:hanging="1080"/>
        <w:rPr>
          <w:color w:val="000000"/>
        </w:rPr>
      </w:pPr>
      <w:bookmarkStart w:colFirst="0" w:colLast="0" w:name="_heading=h.1y810tw" w:id="20"/>
      <w:bookmarkEnd w:id="20"/>
      <w:r w:rsidDel="00000000" w:rsidR="00000000" w:rsidRPr="00000000">
        <w:rPr>
          <w:rtl w:val="0"/>
        </w:rPr>
        <w:t xml:space="preserve">Wykonanie migracji</w:t>
      </w:r>
      <w:r w:rsidDel="00000000" w:rsidR="00000000" w:rsidRPr="00000000">
        <w:rPr>
          <w:rtl w:val="0"/>
        </w:rPr>
      </w:r>
    </w:p>
    <w:p w:rsidR="00000000" w:rsidDel="00000000" w:rsidP="00000000" w:rsidRDefault="00000000" w:rsidRPr="00000000" w14:paraId="000001BA">
      <w:pPr>
        <w:numPr>
          <w:ilvl w:val="0"/>
          <w:numId w:val="1"/>
        </w:numPr>
        <w:pBdr>
          <w:top w:space="0" w:sz="0" w:val="nil"/>
          <w:left w:space="0" w:sz="0" w:val="nil"/>
          <w:bottom w:space="0" w:sz="0" w:val="nil"/>
          <w:right w:space="0" w:sz="0" w:val="nil"/>
          <w:between w:space="0" w:sz="0" w:val="nil"/>
        </w:pBdr>
        <w:ind w:left="714" w:hanging="35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Testowa migracja: </w:t>
      </w:r>
      <w:r w:rsidDel="00000000" w:rsidR="00000000" w:rsidRPr="00000000">
        <w:rPr>
          <w:rFonts w:ascii="Times New Roman" w:cs="Times New Roman" w:eastAsia="Times New Roman" w:hAnsi="Times New Roman"/>
          <w:sz w:val="24"/>
          <w:szCs w:val="24"/>
          <w:rtl w:val="0"/>
        </w:rPr>
        <w:t xml:space="preserve">Przeprowadzenie testowej migracji danych, aby upewnić się, że wszystkie dane są poprawnie przenoszone do bazy danych tworzonego narzędzia, oraz identyfikacja i rozwiązanie wszelkich problemów, które mogą wystąpić podczas migracji.</w:t>
      </w:r>
    </w:p>
    <w:p w:rsidR="00000000" w:rsidDel="00000000" w:rsidP="00000000" w:rsidRDefault="00000000" w:rsidRPr="00000000" w14:paraId="000001BB">
      <w:pPr>
        <w:numPr>
          <w:ilvl w:val="0"/>
          <w:numId w:val="1"/>
        </w:numPr>
        <w:pBdr>
          <w:top w:space="0" w:sz="0" w:val="nil"/>
          <w:left w:space="0" w:sz="0" w:val="nil"/>
          <w:bottom w:space="0" w:sz="0" w:val="nil"/>
          <w:right w:space="0" w:sz="0" w:val="nil"/>
          <w:between w:space="0" w:sz="0" w:val="nil"/>
        </w:pBdr>
        <w:spacing w:after="200" w:lineRule="auto"/>
        <w:ind w:left="714" w:hanging="35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Pełna migracja: </w:t>
      </w:r>
      <w:r w:rsidDel="00000000" w:rsidR="00000000" w:rsidRPr="00000000">
        <w:rPr>
          <w:rFonts w:ascii="Times New Roman" w:cs="Times New Roman" w:eastAsia="Times New Roman" w:hAnsi="Times New Roman"/>
          <w:sz w:val="24"/>
          <w:szCs w:val="24"/>
          <w:rtl w:val="0"/>
        </w:rPr>
        <w:t xml:space="preserve">Po pomyślnym zakończeniu testowej migracji, wykonanie pełnej migracji wszystkich danych z plików Google do bazy danych narzędzia.</w:t>
      </w:r>
    </w:p>
    <w:p w:rsidR="00000000" w:rsidDel="00000000" w:rsidP="00000000" w:rsidRDefault="00000000" w:rsidRPr="00000000" w14:paraId="000001BC">
      <w:pPr>
        <w:pStyle w:val="Heading4"/>
        <w:numPr>
          <w:ilvl w:val="3"/>
          <w:numId w:val="22"/>
        </w:numPr>
        <w:pBdr>
          <w:top w:space="0" w:sz="0" w:val="nil"/>
          <w:left w:space="0" w:sz="0" w:val="nil"/>
          <w:bottom w:space="0" w:sz="0" w:val="nil"/>
          <w:right w:space="0" w:sz="0" w:val="nil"/>
          <w:between w:space="0" w:sz="0" w:val="nil"/>
        </w:pBdr>
        <w:ind w:left="708" w:hanging="141"/>
        <w:rPr>
          <w:color w:val="000000"/>
        </w:rPr>
      </w:pPr>
      <w:bookmarkStart w:colFirst="0" w:colLast="0" w:name="_heading=h.4i7ojhp" w:id="21"/>
      <w:bookmarkEnd w:id="21"/>
      <w:r w:rsidDel="00000000" w:rsidR="00000000" w:rsidRPr="00000000">
        <w:rPr>
          <w:color w:val="000000"/>
          <w:rtl w:val="0"/>
        </w:rPr>
        <w:t xml:space="preserve">Weryfikacja migracji</w:t>
      </w:r>
    </w:p>
    <w:p w:rsidR="00000000" w:rsidDel="00000000" w:rsidP="00000000" w:rsidRDefault="00000000" w:rsidRPr="00000000" w14:paraId="000001BD">
      <w:pPr>
        <w:numPr>
          <w:ilvl w:val="0"/>
          <w:numId w:val="1"/>
        </w:numPr>
        <w:pBdr>
          <w:top w:space="0" w:sz="0" w:val="nil"/>
          <w:left w:space="0" w:sz="0" w:val="nil"/>
          <w:bottom w:space="0" w:sz="0" w:val="nil"/>
          <w:right w:space="0" w:sz="0" w:val="nil"/>
          <w:between w:space="0" w:sz="0" w:val="nil"/>
        </w:pBdr>
        <w:ind w:left="714" w:hanging="35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Porównanie danych: </w:t>
      </w:r>
      <w:r w:rsidDel="00000000" w:rsidR="00000000" w:rsidRPr="00000000">
        <w:rPr>
          <w:rFonts w:ascii="Times New Roman" w:cs="Times New Roman" w:eastAsia="Times New Roman" w:hAnsi="Times New Roman"/>
          <w:sz w:val="24"/>
          <w:szCs w:val="24"/>
          <w:rtl w:val="0"/>
        </w:rPr>
        <w:t xml:space="preserve">Porównanie danych w bazie danych narzędzia z danymi źródłowymi w plikach Google (obecnej Tabeli Monitorującej), aby upewnić się, że wszystkie dane zostały poprawnie przeniesione i że nie wystąpiły żadne utraty danych ani błędy.</w:t>
      </w:r>
    </w:p>
    <w:p w:rsidR="00000000" w:rsidDel="00000000" w:rsidP="00000000" w:rsidRDefault="00000000" w:rsidRPr="00000000" w14:paraId="000001BE">
      <w:pPr>
        <w:numPr>
          <w:ilvl w:val="0"/>
          <w:numId w:val="1"/>
        </w:numPr>
        <w:pBdr>
          <w:top w:space="0" w:sz="0" w:val="nil"/>
          <w:left w:space="0" w:sz="0" w:val="nil"/>
          <w:bottom w:space="0" w:sz="0" w:val="nil"/>
          <w:right w:space="0" w:sz="0" w:val="nil"/>
          <w:between w:space="0" w:sz="0" w:val="nil"/>
        </w:pBdr>
        <w:spacing w:after="200" w:lineRule="auto"/>
        <w:ind w:left="714" w:hanging="35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Spójność danych: </w:t>
      </w:r>
      <w:r w:rsidDel="00000000" w:rsidR="00000000" w:rsidRPr="00000000">
        <w:rPr>
          <w:rFonts w:ascii="Times New Roman" w:cs="Times New Roman" w:eastAsia="Times New Roman" w:hAnsi="Times New Roman"/>
          <w:sz w:val="24"/>
          <w:szCs w:val="24"/>
          <w:rtl w:val="0"/>
        </w:rPr>
        <w:t xml:space="preserve">Sprawdzenie spójności danych w bazie danych narzędzia, uwzględniając relacje między tabelami oraz integralność referencyjną.</w:t>
      </w:r>
    </w:p>
    <w:p w:rsidR="00000000" w:rsidDel="00000000" w:rsidP="00000000" w:rsidRDefault="00000000" w:rsidRPr="00000000" w14:paraId="000001BF">
      <w:pPr>
        <w:pStyle w:val="Heading4"/>
        <w:numPr>
          <w:ilvl w:val="3"/>
          <w:numId w:val="22"/>
        </w:numPr>
        <w:pBdr>
          <w:top w:space="0" w:sz="0" w:val="nil"/>
          <w:left w:space="0" w:sz="0" w:val="nil"/>
          <w:bottom w:space="0" w:sz="0" w:val="nil"/>
          <w:right w:space="0" w:sz="0" w:val="nil"/>
          <w:between w:space="0" w:sz="0" w:val="nil"/>
        </w:pBdr>
        <w:ind w:left="708" w:hanging="141"/>
        <w:rPr>
          <w:color w:val="000000"/>
        </w:rPr>
      </w:pPr>
      <w:bookmarkStart w:colFirst="0" w:colLast="0" w:name="_heading=h.2xcytpi" w:id="22"/>
      <w:bookmarkEnd w:id="22"/>
      <w:r w:rsidDel="00000000" w:rsidR="00000000" w:rsidRPr="00000000">
        <w:rPr>
          <w:color w:val="000000"/>
          <w:rtl w:val="0"/>
        </w:rPr>
        <w:t xml:space="preserve">Opcjonalnie: Automatyczna aktualizacja danych do czasu pełnego wdrożenia</w:t>
      </w:r>
    </w:p>
    <w:p w:rsidR="00000000" w:rsidDel="00000000" w:rsidP="00000000" w:rsidRDefault="00000000" w:rsidRPr="00000000" w14:paraId="000001C0">
      <w:pPr>
        <w:numPr>
          <w:ilvl w:val="0"/>
          <w:numId w:val="1"/>
        </w:numPr>
        <w:pBdr>
          <w:top w:space="0" w:sz="0" w:val="nil"/>
          <w:left w:space="0" w:sz="0" w:val="nil"/>
          <w:bottom w:space="0" w:sz="0" w:val="nil"/>
          <w:right w:space="0" w:sz="0" w:val="nil"/>
          <w:between w:space="0" w:sz="0" w:val="nil"/>
        </w:pBdr>
        <w:ind w:left="714" w:hanging="35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Monitorowanie zmian w plikach Google (obecnej Tabeli Monitorującej): </w:t>
      </w:r>
      <w:r w:rsidDel="00000000" w:rsidR="00000000" w:rsidRPr="00000000">
        <w:rPr>
          <w:rFonts w:ascii="Times New Roman" w:cs="Times New Roman" w:eastAsia="Times New Roman" w:hAnsi="Times New Roman"/>
          <w:sz w:val="24"/>
          <w:szCs w:val="24"/>
          <w:rtl w:val="0"/>
        </w:rPr>
        <w:t xml:space="preserve">Opracowanie mechanizmu monitorowania zmian w plikach Google i automatycznej aktualizacji bazy danych tworzonego narzędzia na podstawie tych zmian do czasu pełnego wdrożenia aplikacji webowej.</w:t>
      </w:r>
    </w:p>
    <w:p w:rsidR="00000000" w:rsidDel="00000000" w:rsidP="00000000" w:rsidRDefault="00000000" w:rsidRPr="00000000" w14:paraId="000001C1">
      <w:pPr>
        <w:numPr>
          <w:ilvl w:val="0"/>
          <w:numId w:val="1"/>
        </w:numPr>
        <w:pBdr>
          <w:top w:space="0" w:sz="0" w:val="nil"/>
          <w:left w:space="0" w:sz="0" w:val="nil"/>
          <w:bottom w:space="0" w:sz="0" w:val="nil"/>
          <w:right w:space="0" w:sz="0" w:val="nil"/>
          <w:between w:space="0" w:sz="0" w:val="nil"/>
        </w:pBdr>
        <w:ind w:left="714" w:hanging="35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Synchronizacja danych: </w:t>
      </w:r>
      <w:r w:rsidDel="00000000" w:rsidR="00000000" w:rsidRPr="00000000">
        <w:rPr>
          <w:rFonts w:ascii="Times New Roman" w:cs="Times New Roman" w:eastAsia="Times New Roman" w:hAnsi="Times New Roman"/>
          <w:sz w:val="24"/>
          <w:szCs w:val="24"/>
          <w:rtl w:val="0"/>
        </w:rPr>
        <w:t xml:space="preserve">Zapewnienie jednokierunkowej synchronizacji danych między plikami Google a bazą danych tworzonego narzędzia, aby wszelkie zmiany dokonane w plikach Google były odzwierciedlane w bazie danych tworzonego narzędzia.</w:t>
      </w:r>
    </w:p>
    <w:p w:rsidR="00000000" w:rsidDel="00000000" w:rsidP="00000000" w:rsidRDefault="00000000" w:rsidRPr="00000000" w14:paraId="000001C2">
      <w:pPr>
        <w:pStyle w:val="Heading3"/>
        <w:numPr>
          <w:ilvl w:val="2"/>
          <w:numId w:val="22"/>
        </w:numPr>
        <w:ind w:left="566" w:hanging="141"/>
        <w:rPr>
          <w:color w:val="000000"/>
        </w:rPr>
      </w:pPr>
      <w:bookmarkStart w:colFirst="0" w:colLast="0" w:name="_heading=h.1ci93xb" w:id="23"/>
      <w:bookmarkEnd w:id="23"/>
      <w:r w:rsidDel="00000000" w:rsidR="00000000" w:rsidRPr="00000000">
        <w:rPr>
          <w:color w:val="000000"/>
          <w:rtl w:val="0"/>
        </w:rPr>
        <w:t xml:space="preserve">Integracja z innymi źródłami danych</w:t>
      </w:r>
    </w:p>
    <w:p w:rsidR="00000000" w:rsidDel="00000000" w:rsidP="00000000" w:rsidRDefault="00000000" w:rsidRPr="00000000" w14:paraId="000001C3">
      <w:pPr>
        <w:pBdr>
          <w:top w:space="0" w:sz="0" w:val="nil"/>
          <w:left w:space="0" w:sz="0" w:val="nil"/>
          <w:bottom w:space="0" w:sz="0" w:val="nil"/>
          <w:right w:space="0" w:sz="0" w:val="nil"/>
          <w:between w:space="0" w:sz="0" w:val="nil"/>
        </w:pBdr>
        <w:spacing w:after="200" w:before="20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 obecnym etapie zakłada się integrację z narzędziami Zamawiającego (aplikacja e-Wnioski oraz baza danych ZRK) oraz pobieranie danych z Monitora Polskiego (API Monitora Polskiego </w:t>
      </w:r>
      <w:hyperlink r:id="rId9">
        <w:r w:rsidDel="00000000" w:rsidR="00000000" w:rsidRPr="00000000">
          <w:rPr>
            <w:rFonts w:ascii="Times New Roman" w:cs="Times New Roman" w:eastAsia="Times New Roman" w:hAnsi="Times New Roman"/>
            <w:color w:val="1155cc"/>
            <w:sz w:val="24"/>
            <w:szCs w:val="24"/>
            <w:u w:val="single"/>
            <w:rtl w:val="0"/>
          </w:rPr>
          <w:t xml:space="preserve">https://api.sejm.gov.pl/</w:t>
        </w:r>
      </w:hyperlink>
      <w:r w:rsidDel="00000000" w:rsidR="00000000" w:rsidRPr="00000000">
        <w:rPr>
          <w:rFonts w:ascii="Times New Roman" w:cs="Times New Roman" w:eastAsia="Times New Roman" w:hAnsi="Times New Roman"/>
          <w:sz w:val="24"/>
          <w:szCs w:val="24"/>
          <w:rtl w:val="0"/>
        </w:rPr>
        <w:t xml:space="preserve">) oraz z portalu ZSK kwalifikacje.gov.pl. Narzędzia Zamawiającego również mają dedykowane API, jednak dane udostępniane w tych API nie są w ocenie Zamawiającego wystarczające na potrzeby Tabeli Monitorującej, w związku z tym przewiduje się bezpośrednie pobieranie danych z tych baz danych.</w:t>
      </w:r>
    </w:p>
    <w:p w:rsidR="00000000" w:rsidDel="00000000" w:rsidP="00000000" w:rsidRDefault="00000000" w:rsidRPr="00000000" w14:paraId="000001C4">
      <w:pPr>
        <w:pStyle w:val="Heading4"/>
        <w:numPr>
          <w:ilvl w:val="3"/>
          <w:numId w:val="22"/>
        </w:numPr>
        <w:pBdr>
          <w:top w:space="0" w:sz="0" w:val="nil"/>
          <w:left w:space="0" w:sz="0" w:val="nil"/>
          <w:bottom w:space="0" w:sz="0" w:val="nil"/>
          <w:right w:space="0" w:sz="0" w:val="nil"/>
          <w:between w:space="0" w:sz="0" w:val="nil"/>
        </w:pBdr>
        <w:ind w:left="708" w:hanging="141"/>
        <w:rPr>
          <w:color w:val="000000"/>
        </w:rPr>
      </w:pPr>
      <w:bookmarkStart w:colFirst="0" w:colLast="0" w:name="_heading=h.3whwml4" w:id="24"/>
      <w:bookmarkEnd w:id="24"/>
      <w:r w:rsidDel="00000000" w:rsidR="00000000" w:rsidRPr="00000000">
        <w:rPr>
          <w:color w:val="000000"/>
          <w:rtl w:val="0"/>
        </w:rPr>
        <w:t xml:space="preserve">Pobieranie danych z innych systemów przez API</w:t>
      </w:r>
    </w:p>
    <w:p w:rsidR="00000000" w:rsidDel="00000000" w:rsidP="00000000" w:rsidRDefault="00000000" w:rsidRPr="00000000" w14:paraId="000001C5">
      <w:pPr>
        <w:numPr>
          <w:ilvl w:val="0"/>
          <w:numId w:val="1"/>
        </w:numPr>
        <w:pBdr>
          <w:top w:space="0" w:sz="0" w:val="nil"/>
          <w:left w:space="0" w:sz="0" w:val="nil"/>
          <w:bottom w:space="0" w:sz="0" w:val="nil"/>
          <w:right w:space="0" w:sz="0" w:val="nil"/>
          <w:between w:space="0" w:sz="0" w:val="nil"/>
        </w:pBdr>
        <w:spacing w:after="200" w:lineRule="auto"/>
        <w:ind w:left="714" w:hanging="35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Wykorzystanie API:</w:t>
      </w:r>
      <w:r w:rsidDel="00000000" w:rsidR="00000000" w:rsidRPr="00000000">
        <w:rPr>
          <w:rFonts w:ascii="Times New Roman" w:cs="Times New Roman" w:eastAsia="Times New Roman" w:hAnsi="Times New Roman"/>
          <w:sz w:val="24"/>
          <w:szCs w:val="24"/>
          <w:rtl w:val="0"/>
        </w:rPr>
        <w:t xml:space="preserve"> Tabela Monitorująca będzie mogła integrować się z innymi aplikacjami i usługami poprzez ich dedykowane API, umożliwiając pobieranie danych (np. w formacie JSON lub XML).</w:t>
      </w:r>
    </w:p>
    <w:p w:rsidR="00000000" w:rsidDel="00000000" w:rsidP="00000000" w:rsidRDefault="00000000" w:rsidRPr="00000000" w14:paraId="000001C6">
      <w:pPr>
        <w:pStyle w:val="Heading4"/>
        <w:numPr>
          <w:ilvl w:val="3"/>
          <w:numId w:val="22"/>
        </w:numPr>
        <w:pBdr>
          <w:top w:space="0" w:sz="0" w:val="nil"/>
          <w:left w:space="0" w:sz="0" w:val="nil"/>
          <w:bottom w:space="0" w:sz="0" w:val="nil"/>
          <w:right w:space="0" w:sz="0" w:val="nil"/>
          <w:between w:space="0" w:sz="0" w:val="nil"/>
        </w:pBdr>
        <w:ind w:left="708" w:hanging="141"/>
        <w:rPr>
          <w:color w:val="000000"/>
        </w:rPr>
      </w:pPr>
      <w:bookmarkStart w:colFirst="0" w:colLast="0" w:name="_heading=h.2bn6wsx" w:id="25"/>
      <w:bookmarkEnd w:id="25"/>
      <w:r w:rsidDel="00000000" w:rsidR="00000000" w:rsidRPr="00000000">
        <w:rPr>
          <w:color w:val="000000"/>
          <w:rtl w:val="0"/>
        </w:rPr>
        <w:t xml:space="preserve">Bezpośrednie połączenie z bazą danych innej aplikacji</w:t>
      </w:r>
    </w:p>
    <w:p w:rsidR="00000000" w:rsidDel="00000000" w:rsidP="00000000" w:rsidRDefault="00000000" w:rsidRPr="00000000" w14:paraId="000001C7">
      <w:pPr>
        <w:numPr>
          <w:ilvl w:val="0"/>
          <w:numId w:val="1"/>
        </w:numPr>
        <w:pBdr>
          <w:top w:space="0" w:sz="0" w:val="nil"/>
          <w:left w:space="0" w:sz="0" w:val="nil"/>
          <w:bottom w:space="0" w:sz="0" w:val="nil"/>
          <w:right w:space="0" w:sz="0" w:val="nil"/>
          <w:between w:space="0" w:sz="0" w:val="nil"/>
        </w:pBdr>
        <w:ind w:left="714" w:hanging="35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Obsługa różnych typów baz danych: </w:t>
      </w:r>
      <w:r w:rsidDel="00000000" w:rsidR="00000000" w:rsidRPr="00000000">
        <w:rPr>
          <w:rFonts w:ascii="Times New Roman" w:cs="Times New Roman" w:eastAsia="Times New Roman" w:hAnsi="Times New Roman"/>
          <w:sz w:val="24"/>
          <w:szCs w:val="24"/>
          <w:rtl w:val="0"/>
        </w:rPr>
        <w:t xml:space="preserve">Tabela Monitorująca będzie mogła bezpośrednio łączyć się z różnymi typami baz danych, takimi jak MySQL, PostgreSQL, Microsoft SQL Server, itp. z uwzględnieniem bezpieczeństwa połączeń. </w:t>
      </w:r>
    </w:p>
    <w:p w:rsidR="00000000" w:rsidDel="00000000" w:rsidP="00000000" w:rsidRDefault="00000000" w:rsidRPr="00000000" w14:paraId="000001C8">
      <w:pPr>
        <w:numPr>
          <w:ilvl w:val="0"/>
          <w:numId w:val="1"/>
        </w:numPr>
        <w:pBdr>
          <w:top w:space="0" w:sz="0" w:val="nil"/>
          <w:left w:space="0" w:sz="0" w:val="nil"/>
          <w:bottom w:space="0" w:sz="0" w:val="nil"/>
          <w:right w:space="0" w:sz="0" w:val="nil"/>
          <w:between w:space="0" w:sz="0" w:val="nil"/>
        </w:pBdr>
        <w:spacing w:after="200" w:lineRule="auto"/>
        <w:ind w:left="714" w:hanging="35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Okresowe pobieranie danych: </w:t>
      </w:r>
      <w:r w:rsidDel="00000000" w:rsidR="00000000" w:rsidRPr="00000000">
        <w:rPr>
          <w:rFonts w:ascii="Times New Roman" w:cs="Times New Roman" w:eastAsia="Times New Roman" w:hAnsi="Times New Roman"/>
          <w:sz w:val="24"/>
          <w:szCs w:val="24"/>
          <w:rtl w:val="0"/>
        </w:rPr>
        <w:t xml:space="preserve">Możliwość pobierania danych do bazy danych Tabeli Monitorującej z bazy danych innej aplikacji w określonych interwałach czasowych.</w:t>
      </w:r>
    </w:p>
    <w:p w:rsidR="00000000" w:rsidDel="00000000" w:rsidP="00000000" w:rsidRDefault="00000000" w:rsidRPr="00000000" w14:paraId="000001C9">
      <w:pPr>
        <w:pStyle w:val="Heading4"/>
        <w:numPr>
          <w:ilvl w:val="3"/>
          <w:numId w:val="22"/>
        </w:numPr>
        <w:pBdr>
          <w:top w:space="0" w:sz="0" w:val="nil"/>
          <w:left w:space="0" w:sz="0" w:val="nil"/>
          <w:bottom w:space="0" w:sz="0" w:val="nil"/>
          <w:right w:space="0" w:sz="0" w:val="nil"/>
          <w:between w:space="0" w:sz="0" w:val="nil"/>
        </w:pBdr>
        <w:ind w:left="708" w:hanging="141"/>
        <w:rPr>
          <w:color w:val="000000"/>
        </w:rPr>
      </w:pPr>
      <w:bookmarkStart w:colFirst="0" w:colLast="0" w:name="_heading=h.qsh70q" w:id="26"/>
      <w:bookmarkEnd w:id="26"/>
      <w:r w:rsidDel="00000000" w:rsidR="00000000" w:rsidRPr="00000000">
        <w:rPr>
          <w:color w:val="000000"/>
          <w:rtl w:val="0"/>
        </w:rPr>
        <w:t xml:space="preserve">Automatyczne pobieranie i aktualizacja danych</w:t>
      </w:r>
    </w:p>
    <w:p w:rsidR="00000000" w:rsidDel="00000000" w:rsidP="00000000" w:rsidRDefault="00000000" w:rsidRPr="00000000" w14:paraId="000001CA">
      <w:pPr>
        <w:numPr>
          <w:ilvl w:val="0"/>
          <w:numId w:val="1"/>
        </w:numPr>
        <w:pBdr>
          <w:top w:space="0" w:sz="0" w:val="nil"/>
          <w:left w:space="0" w:sz="0" w:val="nil"/>
          <w:bottom w:space="0" w:sz="0" w:val="nil"/>
          <w:right w:space="0" w:sz="0" w:val="nil"/>
          <w:between w:space="0" w:sz="0" w:val="nil"/>
        </w:pBdr>
        <w:ind w:left="714" w:hanging="35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Harmonogramowanie zadań: </w:t>
      </w:r>
      <w:r w:rsidDel="00000000" w:rsidR="00000000" w:rsidRPr="00000000">
        <w:rPr>
          <w:rFonts w:ascii="Times New Roman" w:cs="Times New Roman" w:eastAsia="Times New Roman" w:hAnsi="Times New Roman"/>
          <w:sz w:val="24"/>
          <w:szCs w:val="24"/>
          <w:rtl w:val="0"/>
        </w:rPr>
        <w:t xml:space="preserve">Narzędzie będzie miało możliwość harmonogramowania zadań automatycznego pobierania danych z innych aplikacji w określonych odstępach czasu (np. codziennie, co godzinę).</w:t>
      </w:r>
    </w:p>
    <w:p w:rsidR="00000000" w:rsidDel="00000000" w:rsidP="00000000" w:rsidRDefault="00000000" w:rsidRPr="00000000" w14:paraId="000001CB">
      <w:pPr>
        <w:numPr>
          <w:ilvl w:val="0"/>
          <w:numId w:val="1"/>
        </w:numPr>
        <w:pBdr>
          <w:top w:space="0" w:sz="0" w:val="nil"/>
          <w:left w:space="0" w:sz="0" w:val="nil"/>
          <w:bottom w:space="0" w:sz="0" w:val="nil"/>
          <w:right w:space="0" w:sz="0" w:val="nil"/>
          <w:between w:space="0" w:sz="0" w:val="nil"/>
        </w:pBdr>
        <w:spacing w:after="200" w:lineRule="auto"/>
        <w:ind w:left="714" w:hanging="35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Mechanizmy aktualizacji: </w:t>
      </w:r>
      <w:r w:rsidDel="00000000" w:rsidR="00000000" w:rsidRPr="00000000">
        <w:rPr>
          <w:rFonts w:ascii="Times New Roman" w:cs="Times New Roman" w:eastAsia="Times New Roman" w:hAnsi="Times New Roman"/>
          <w:sz w:val="24"/>
          <w:szCs w:val="24"/>
          <w:rtl w:val="0"/>
        </w:rPr>
        <w:t xml:space="preserve">Po pobraniu danych będą aktualizowane odpowiednie tabele w bazie danych narzędzia, zachowując integralność i spójność danych. Mechanizm będzie dawał możliwość przeglądania, porównywania ze wskazaniem różnic między danymi oraz edycji danych z innych aplikacji przed importem do bazy danych Tabeli Monitorującej. Oznacza to, że użytkownicy będą decydowali, jakie ostatecznie dane zostaną zapisane w bazie danych Tabeli Monitorującej. Użytkownik będzie mógł zaakceptować zapis danych pobranych z innych źródeł do bazy danych Tabeli, wprowadzić modyfikację w danych proponowanych do zapisu do bazy, albo odrzucić (zrezygnować z wprowadzania zmian w danym rekordzie) lub wpisać dane własne.</w:t>
      </w:r>
    </w:p>
    <w:p w:rsidR="00000000" w:rsidDel="00000000" w:rsidP="00000000" w:rsidRDefault="00000000" w:rsidRPr="00000000" w14:paraId="000001CC">
      <w:pPr>
        <w:pStyle w:val="Heading4"/>
        <w:numPr>
          <w:ilvl w:val="3"/>
          <w:numId w:val="22"/>
        </w:numPr>
        <w:pBdr>
          <w:top w:space="0" w:sz="0" w:val="nil"/>
          <w:left w:space="0" w:sz="0" w:val="nil"/>
          <w:bottom w:space="0" w:sz="0" w:val="nil"/>
          <w:right w:space="0" w:sz="0" w:val="nil"/>
          <w:between w:space="0" w:sz="0" w:val="nil"/>
        </w:pBdr>
        <w:ind w:left="708" w:hanging="141"/>
        <w:rPr>
          <w:color w:val="000000"/>
        </w:rPr>
      </w:pPr>
      <w:bookmarkStart w:colFirst="0" w:colLast="0" w:name="_heading=h.3as4poj" w:id="27"/>
      <w:bookmarkEnd w:id="27"/>
      <w:r w:rsidDel="00000000" w:rsidR="00000000" w:rsidRPr="00000000">
        <w:rPr>
          <w:color w:val="000000"/>
          <w:rtl w:val="0"/>
        </w:rPr>
        <w:t xml:space="preserve">Bezpieczeństwo integracji</w:t>
      </w:r>
    </w:p>
    <w:p w:rsidR="00000000" w:rsidDel="00000000" w:rsidP="00000000" w:rsidRDefault="00000000" w:rsidRPr="00000000" w14:paraId="000001CD">
      <w:pPr>
        <w:numPr>
          <w:ilvl w:val="0"/>
          <w:numId w:val="1"/>
        </w:numPr>
        <w:pBdr>
          <w:top w:space="0" w:sz="0" w:val="nil"/>
          <w:left w:space="0" w:sz="0" w:val="nil"/>
          <w:bottom w:space="0" w:sz="0" w:val="nil"/>
          <w:right w:space="0" w:sz="0" w:val="nil"/>
          <w:between w:space="0" w:sz="0" w:val="nil"/>
        </w:pBdr>
        <w:ind w:left="714" w:hanging="35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Szyfrowanie: </w:t>
      </w:r>
      <w:r w:rsidDel="00000000" w:rsidR="00000000" w:rsidRPr="00000000">
        <w:rPr>
          <w:rFonts w:ascii="Times New Roman" w:cs="Times New Roman" w:eastAsia="Times New Roman" w:hAnsi="Times New Roman"/>
          <w:sz w:val="24"/>
          <w:szCs w:val="24"/>
          <w:rtl w:val="0"/>
        </w:rPr>
        <w:t xml:space="preserve">Szyfrowanie danych podczas transmisji między bazami danych (narzędziem i innymi aplikacjami), aby zapewnić bezpieczeństwo i poufność przesyłanych informacji.</w:t>
      </w:r>
    </w:p>
    <w:p w:rsidR="00000000" w:rsidDel="00000000" w:rsidP="00000000" w:rsidRDefault="00000000" w:rsidRPr="00000000" w14:paraId="000001CE">
      <w:pPr>
        <w:numPr>
          <w:ilvl w:val="0"/>
          <w:numId w:val="1"/>
        </w:numPr>
        <w:pBdr>
          <w:top w:space="0" w:sz="0" w:val="nil"/>
          <w:left w:space="0" w:sz="0" w:val="nil"/>
          <w:bottom w:space="0" w:sz="0" w:val="nil"/>
          <w:right w:space="0" w:sz="0" w:val="nil"/>
          <w:between w:space="0" w:sz="0" w:val="nil"/>
        </w:pBdr>
        <w:spacing w:after="200" w:lineRule="auto"/>
        <w:ind w:left="714" w:hanging="35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Monitorowanie i audyt: </w:t>
      </w:r>
      <w:r w:rsidDel="00000000" w:rsidR="00000000" w:rsidRPr="00000000">
        <w:rPr>
          <w:rFonts w:ascii="Times New Roman" w:cs="Times New Roman" w:eastAsia="Times New Roman" w:hAnsi="Times New Roman"/>
          <w:sz w:val="24"/>
          <w:szCs w:val="24"/>
          <w:rtl w:val="0"/>
        </w:rPr>
        <w:t xml:space="preserve">Monitorowanie aktywności integracji oraz prowadzenie audytu połączeń i wymiany danych, aby wykrywać i reagować na potencjalne zagrożenia.</w:t>
      </w:r>
    </w:p>
    <w:p w:rsidR="00000000" w:rsidDel="00000000" w:rsidP="00000000" w:rsidRDefault="00000000" w:rsidRPr="00000000" w14:paraId="000001CF">
      <w:pPr>
        <w:pStyle w:val="Heading4"/>
        <w:numPr>
          <w:ilvl w:val="3"/>
          <w:numId w:val="22"/>
        </w:numPr>
        <w:pBdr>
          <w:top w:space="0" w:sz="0" w:val="nil"/>
          <w:left w:space="0" w:sz="0" w:val="nil"/>
          <w:bottom w:space="0" w:sz="0" w:val="nil"/>
          <w:right w:space="0" w:sz="0" w:val="nil"/>
          <w:between w:space="0" w:sz="0" w:val="nil"/>
        </w:pBdr>
        <w:ind w:left="708" w:hanging="141"/>
        <w:rPr>
          <w:color w:val="000000"/>
        </w:rPr>
      </w:pPr>
      <w:bookmarkStart w:colFirst="0" w:colLast="0" w:name="_heading=h.1pxezwc" w:id="28"/>
      <w:bookmarkEnd w:id="28"/>
      <w:r w:rsidDel="00000000" w:rsidR="00000000" w:rsidRPr="00000000">
        <w:rPr>
          <w:color w:val="000000"/>
          <w:rtl w:val="0"/>
        </w:rPr>
        <w:t xml:space="preserve">Dokumentacja integracji</w:t>
      </w:r>
    </w:p>
    <w:p w:rsidR="00000000" w:rsidDel="00000000" w:rsidP="00000000" w:rsidRDefault="00000000" w:rsidRPr="00000000" w14:paraId="000001D0">
      <w:pPr>
        <w:numPr>
          <w:ilvl w:val="0"/>
          <w:numId w:val="1"/>
        </w:numPr>
        <w:pBdr>
          <w:top w:space="0" w:sz="0" w:val="nil"/>
          <w:left w:space="0" w:sz="0" w:val="nil"/>
          <w:bottom w:space="0" w:sz="0" w:val="nil"/>
          <w:right w:space="0" w:sz="0" w:val="nil"/>
          <w:between w:space="0" w:sz="0" w:val="nil"/>
        </w:pBdr>
        <w:spacing w:after="200" w:lineRule="auto"/>
        <w:ind w:left="714" w:hanging="35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Instrukcje konfiguracji: </w:t>
      </w:r>
      <w:r w:rsidDel="00000000" w:rsidR="00000000" w:rsidRPr="00000000">
        <w:rPr>
          <w:rFonts w:ascii="Times New Roman" w:cs="Times New Roman" w:eastAsia="Times New Roman" w:hAnsi="Times New Roman"/>
          <w:sz w:val="24"/>
          <w:szCs w:val="24"/>
          <w:rtl w:val="0"/>
        </w:rPr>
        <w:t xml:space="preserve">Szczegółowe instrukcje konfiguracji połączeń z bazami danych innych aplikacji oraz integracji API, aby ułatwić użytkownikom i administratorom proces integracji.</w:t>
      </w:r>
    </w:p>
    <w:p w:rsidR="00000000" w:rsidDel="00000000" w:rsidP="00000000" w:rsidRDefault="00000000" w:rsidRPr="00000000" w14:paraId="000001D1">
      <w:pPr>
        <w:pStyle w:val="Heading3"/>
        <w:numPr>
          <w:ilvl w:val="2"/>
          <w:numId w:val="22"/>
        </w:numPr>
        <w:ind w:left="566" w:hanging="141"/>
        <w:rPr/>
      </w:pPr>
      <w:bookmarkStart w:colFirst="0" w:colLast="0" w:name="_heading=h.49x2ik5" w:id="29"/>
      <w:bookmarkEnd w:id="29"/>
      <w:r w:rsidDel="00000000" w:rsidR="00000000" w:rsidRPr="00000000">
        <w:rPr>
          <w:rtl w:val="0"/>
        </w:rPr>
        <w:t xml:space="preserve">System zarządzania użytkownikami</w:t>
      </w:r>
    </w:p>
    <w:p w:rsidR="00000000" w:rsidDel="00000000" w:rsidP="00000000" w:rsidRDefault="00000000" w:rsidRPr="00000000" w14:paraId="000001D2">
      <w:pPr>
        <w:spacing w:after="240" w:before="20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Pracownicy IBE posiadają konta służbowe Google. W związku z tym Zamawiający zakłada, że logowanie do aplikacji będzie się odbywało przy pomocy służbowego konta Google (niezbędna jest integracja), tak aby nie było konieczności posiadania przez użytkownika odrębnych danych dostępowych Narzędzie ma umożliwiać logowanie tylko wybranym pracownikom IBE (użytkownikom narzędzia). </w:t>
      </w:r>
    </w:p>
    <w:p w:rsidR="00000000" w:rsidDel="00000000" w:rsidP="00000000" w:rsidRDefault="00000000" w:rsidRPr="00000000" w14:paraId="000001D3">
      <w:pPr>
        <w:pStyle w:val="Heading4"/>
        <w:numPr>
          <w:ilvl w:val="3"/>
          <w:numId w:val="22"/>
        </w:numPr>
        <w:pBdr>
          <w:top w:space="0" w:sz="0" w:val="nil"/>
          <w:left w:space="0" w:sz="0" w:val="nil"/>
          <w:bottom w:space="0" w:sz="0" w:val="nil"/>
          <w:right w:space="0" w:sz="0" w:val="nil"/>
          <w:between w:space="0" w:sz="0" w:val="nil"/>
        </w:pBdr>
        <w:ind w:left="708" w:hanging="141"/>
        <w:rPr/>
      </w:pPr>
      <w:bookmarkStart w:colFirst="0" w:colLast="0" w:name="_heading=h.2p2csry" w:id="30"/>
      <w:bookmarkEnd w:id="30"/>
      <w:r w:rsidDel="00000000" w:rsidR="00000000" w:rsidRPr="00000000">
        <w:rPr>
          <w:rtl w:val="0"/>
        </w:rPr>
        <w:t xml:space="preserve">Rejestracja użytkowników</w:t>
      </w:r>
    </w:p>
    <w:p w:rsidR="00000000" w:rsidDel="00000000" w:rsidP="00000000" w:rsidRDefault="00000000" w:rsidRPr="00000000" w14:paraId="000001D4">
      <w:pPr>
        <w:spacing w:after="200" w:before="20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Formularz rejestracyjny:</w:t>
      </w:r>
    </w:p>
    <w:p w:rsidR="00000000" w:rsidDel="00000000" w:rsidP="00000000" w:rsidRDefault="00000000" w:rsidRPr="00000000" w14:paraId="000001D5">
      <w:pPr>
        <w:numPr>
          <w:ilvl w:val="0"/>
          <w:numId w:val="1"/>
        </w:numPr>
        <w:ind w:left="714" w:hanging="35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Dane osobowe: </w:t>
      </w:r>
      <w:r w:rsidDel="00000000" w:rsidR="00000000" w:rsidRPr="00000000">
        <w:rPr>
          <w:rFonts w:ascii="Times New Roman" w:cs="Times New Roman" w:eastAsia="Times New Roman" w:hAnsi="Times New Roman"/>
          <w:sz w:val="24"/>
          <w:szCs w:val="24"/>
          <w:rtl w:val="0"/>
        </w:rPr>
        <w:t xml:space="preserve">Formularz rejestracyjny powinien zawierać pola do wprowadzenia przez użytkownika podstawowych danych osobowych, takich jak imię, nazwisko, adres e-mail. Adres e-mail będzie jednocześnie loginem. </w:t>
      </w:r>
      <w:r w:rsidDel="00000000" w:rsidR="00000000" w:rsidRPr="00000000">
        <w:rPr>
          <w:rtl w:val="0"/>
        </w:rPr>
      </w:r>
    </w:p>
    <w:p w:rsidR="00000000" w:rsidDel="00000000" w:rsidP="00000000" w:rsidRDefault="00000000" w:rsidRPr="00000000" w14:paraId="000001D6">
      <w:pPr>
        <w:numPr>
          <w:ilvl w:val="0"/>
          <w:numId w:val="1"/>
        </w:numPr>
        <w:ind w:left="714" w:hanging="35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Walidacja danych: </w:t>
      </w:r>
      <w:r w:rsidDel="00000000" w:rsidR="00000000" w:rsidRPr="00000000">
        <w:rPr>
          <w:rFonts w:ascii="Times New Roman" w:cs="Times New Roman" w:eastAsia="Times New Roman" w:hAnsi="Times New Roman"/>
          <w:sz w:val="24"/>
          <w:szCs w:val="24"/>
          <w:rtl w:val="0"/>
        </w:rPr>
        <w:t xml:space="preserve">Narzędzie będzie sprawdzać wprowadzone dane, np. format adresu e-mail, unikalność adresu e-mail (uniemożliwienie założenia kolejnego konta na te same dane).</w:t>
      </w:r>
      <w:r w:rsidDel="00000000" w:rsidR="00000000" w:rsidRPr="00000000">
        <w:rPr>
          <w:rtl w:val="0"/>
        </w:rPr>
      </w:r>
    </w:p>
    <w:p w:rsidR="00000000" w:rsidDel="00000000" w:rsidP="00000000" w:rsidRDefault="00000000" w:rsidRPr="00000000" w14:paraId="000001D7">
      <w:pPr>
        <w:numPr>
          <w:ilvl w:val="0"/>
          <w:numId w:val="1"/>
        </w:numPr>
        <w:ind w:left="714" w:hanging="35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Opcjonalne dane: </w:t>
      </w:r>
      <w:r w:rsidDel="00000000" w:rsidR="00000000" w:rsidRPr="00000000">
        <w:rPr>
          <w:rFonts w:ascii="Times New Roman" w:cs="Times New Roman" w:eastAsia="Times New Roman" w:hAnsi="Times New Roman"/>
          <w:sz w:val="24"/>
          <w:szCs w:val="24"/>
          <w:rtl w:val="0"/>
        </w:rPr>
        <w:t xml:space="preserve">Możliwość dodania opcjonalnych pól, takich jak stanowisko, dział, itp. na etapie prac nad narzędziem.</w:t>
      </w:r>
      <w:r w:rsidDel="00000000" w:rsidR="00000000" w:rsidRPr="00000000">
        <w:rPr>
          <w:rtl w:val="0"/>
        </w:rPr>
      </w:r>
    </w:p>
    <w:p w:rsidR="00000000" w:rsidDel="00000000" w:rsidP="00000000" w:rsidRDefault="00000000" w:rsidRPr="00000000" w14:paraId="000001D8">
      <w:pPr>
        <w:numPr>
          <w:ilvl w:val="0"/>
          <w:numId w:val="1"/>
        </w:numPr>
        <w:spacing w:after="200" w:lineRule="auto"/>
        <w:ind w:left="714" w:hanging="35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Komunikat: </w:t>
      </w:r>
      <w:r w:rsidDel="00000000" w:rsidR="00000000" w:rsidRPr="00000000">
        <w:rPr>
          <w:rFonts w:ascii="Times New Roman" w:cs="Times New Roman" w:eastAsia="Times New Roman" w:hAnsi="Times New Roman"/>
          <w:sz w:val="24"/>
          <w:szCs w:val="24"/>
          <w:rtl w:val="0"/>
        </w:rPr>
        <w:t xml:space="preserve">Użytkownik dostanie e-mail z powiadomieniem, że aktywacja konta nastąpi po jego weryfikacji przez Administratora i nadaniu roli/ ról.</w:t>
      </w:r>
      <w:r w:rsidDel="00000000" w:rsidR="00000000" w:rsidRPr="00000000">
        <w:rPr>
          <w:rtl w:val="0"/>
        </w:rPr>
      </w:r>
    </w:p>
    <w:p w:rsidR="00000000" w:rsidDel="00000000" w:rsidP="00000000" w:rsidRDefault="00000000" w:rsidRPr="00000000" w14:paraId="000001D9">
      <w:pPr>
        <w:spacing w:after="200" w:before="20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Proces rejestracji:</w:t>
      </w:r>
    </w:p>
    <w:p w:rsidR="00000000" w:rsidDel="00000000" w:rsidP="00000000" w:rsidRDefault="00000000" w:rsidRPr="00000000" w14:paraId="000001DA">
      <w:pPr>
        <w:numPr>
          <w:ilvl w:val="0"/>
          <w:numId w:val="1"/>
        </w:numPr>
        <w:ind w:left="714" w:hanging="35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Przypisanie roli: </w:t>
      </w:r>
      <w:r w:rsidDel="00000000" w:rsidR="00000000" w:rsidRPr="00000000">
        <w:rPr>
          <w:rFonts w:ascii="Times New Roman" w:cs="Times New Roman" w:eastAsia="Times New Roman" w:hAnsi="Times New Roman"/>
          <w:sz w:val="24"/>
          <w:szCs w:val="24"/>
          <w:rtl w:val="0"/>
        </w:rPr>
        <w:t xml:space="preserve">Administrator przypisuje rolę/role nowo zarejestrowanym użytkownikom. Istnieje możliwość późniejszej zmiany roli/ról</w:t>
      </w:r>
      <w:r w:rsidDel="00000000" w:rsidR="00000000" w:rsidRPr="00000000">
        <w:rPr>
          <w:rFonts w:ascii="Times New Roman" w:cs="Times New Roman" w:eastAsia="Times New Roman" w:hAnsi="Times New Roman"/>
          <w:b w:val="1"/>
          <w:sz w:val="24"/>
          <w:szCs w:val="24"/>
          <w:rtl w:val="0"/>
        </w:rPr>
        <w:t xml:space="preserve">.</w:t>
      </w:r>
      <w:r w:rsidDel="00000000" w:rsidR="00000000" w:rsidRPr="00000000">
        <w:rPr>
          <w:rtl w:val="0"/>
        </w:rPr>
      </w:r>
    </w:p>
    <w:p w:rsidR="00000000" w:rsidDel="00000000" w:rsidP="00000000" w:rsidRDefault="00000000" w:rsidRPr="00000000" w14:paraId="000001DB">
      <w:pPr>
        <w:numPr>
          <w:ilvl w:val="0"/>
          <w:numId w:val="1"/>
        </w:numPr>
        <w:spacing w:after="200" w:lineRule="auto"/>
        <w:ind w:left="714" w:hanging="35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Weryfikacja e-mail: </w:t>
      </w:r>
      <w:r w:rsidDel="00000000" w:rsidR="00000000" w:rsidRPr="00000000">
        <w:rPr>
          <w:rFonts w:ascii="Times New Roman" w:cs="Times New Roman" w:eastAsia="Times New Roman" w:hAnsi="Times New Roman"/>
          <w:sz w:val="24"/>
          <w:szCs w:val="24"/>
          <w:rtl w:val="0"/>
        </w:rPr>
        <w:t xml:space="preserve">Po przypisaniu roli przez Administratora, na adres e-mail podany przy rejestracji zostanie wysłany link aktywacyjny. Użytkownik musi kliknąć w link, aby aktywować swoje konto.</w:t>
      </w:r>
      <w:r w:rsidDel="00000000" w:rsidR="00000000" w:rsidRPr="00000000">
        <w:rPr>
          <w:rtl w:val="0"/>
        </w:rPr>
      </w:r>
    </w:p>
    <w:p w:rsidR="00000000" w:rsidDel="00000000" w:rsidP="00000000" w:rsidRDefault="00000000" w:rsidRPr="00000000" w14:paraId="000001DC">
      <w:pPr>
        <w:pStyle w:val="Heading4"/>
        <w:numPr>
          <w:ilvl w:val="3"/>
          <w:numId w:val="22"/>
        </w:numPr>
        <w:pBdr>
          <w:top w:space="0" w:sz="0" w:val="nil"/>
          <w:left w:space="0" w:sz="0" w:val="nil"/>
          <w:bottom w:space="0" w:sz="0" w:val="nil"/>
          <w:right w:space="0" w:sz="0" w:val="nil"/>
          <w:between w:space="0" w:sz="0" w:val="nil"/>
        </w:pBdr>
        <w:ind w:left="708" w:hanging="141"/>
        <w:rPr/>
      </w:pPr>
      <w:bookmarkStart w:colFirst="0" w:colLast="0" w:name="_heading=h.147n2zr" w:id="31"/>
      <w:bookmarkEnd w:id="31"/>
      <w:r w:rsidDel="00000000" w:rsidR="00000000" w:rsidRPr="00000000">
        <w:rPr>
          <w:rtl w:val="0"/>
        </w:rPr>
        <w:t xml:space="preserve">Integracja z mechanizmem logowania Google</w:t>
      </w:r>
    </w:p>
    <w:p w:rsidR="00000000" w:rsidDel="00000000" w:rsidP="00000000" w:rsidRDefault="00000000" w:rsidRPr="00000000" w14:paraId="000001DD">
      <w:pPr>
        <w:pBdr>
          <w:top w:space="0" w:sz="0" w:val="nil"/>
          <w:left w:space="0" w:sz="0" w:val="nil"/>
          <w:bottom w:space="0" w:sz="0" w:val="nil"/>
          <w:right w:space="0" w:sz="0" w:val="nil"/>
          <w:between w:space="0" w:sz="0" w:val="nil"/>
        </w:pBdr>
        <w:spacing w:after="200" w:before="20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Logowanie przez Google:</w:t>
      </w:r>
    </w:p>
    <w:p w:rsidR="00000000" w:rsidDel="00000000" w:rsidP="00000000" w:rsidRDefault="00000000" w:rsidRPr="00000000" w14:paraId="000001DE">
      <w:pPr>
        <w:numPr>
          <w:ilvl w:val="0"/>
          <w:numId w:val="1"/>
        </w:numPr>
        <w:pBdr>
          <w:top w:space="0" w:sz="0" w:val="nil"/>
          <w:left w:space="0" w:sz="0" w:val="nil"/>
          <w:bottom w:space="0" w:sz="0" w:val="nil"/>
          <w:right w:space="0" w:sz="0" w:val="nil"/>
          <w:between w:space="0" w:sz="0" w:val="nil"/>
        </w:pBdr>
        <w:ind w:left="714" w:hanging="35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OAuth 2.0: </w:t>
      </w:r>
      <w:r w:rsidDel="00000000" w:rsidR="00000000" w:rsidRPr="00000000">
        <w:rPr>
          <w:rFonts w:ascii="Times New Roman" w:cs="Times New Roman" w:eastAsia="Times New Roman" w:hAnsi="Times New Roman"/>
          <w:sz w:val="24"/>
          <w:szCs w:val="24"/>
          <w:rtl w:val="0"/>
        </w:rPr>
        <w:t xml:space="preserve">Implementacja mechanizmu logowania z Google z wykorzystaniem standardu OAuth 2.0, który zapewnia bezpieczne uwierzytelnianie użytkowników przez zewnętrznego dostawcę tożsamości.</w:t>
      </w:r>
    </w:p>
    <w:p w:rsidR="00000000" w:rsidDel="00000000" w:rsidP="00000000" w:rsidRDefault="00000000" w:rsidRPr="00000000" w14:paraId="000001DF">
      <w:pPr>
        <w:numPr>
          <w:ilvl w:val="0"/>
          <w:numId w:val="1"/>
        </w:numPr>
        <w:pBdr>
          <w:top w:space="0" w:sz="0" w:val="nil"/>
          <w:left w:space="0" w:sz="0" w:val="nil"/>
          <w:bottom w:space="0" w:sz="0" w:val="nil"/>
          <w:right w:space="0" w:sz="0" w:val="nil"/>
          <w:between w:space="0" w:sz="0" w:val="nil"/>
        </w:pBdr>
        <w:ind w:left="714" w:hanging="35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Przekierowanie do Google: </w:t>
      </w:r>
      <w:r w:rsidDel="00000000" w:rsidR="00000000" w:rsidRPr="00000000">
        <w:rPr>
          <w:rFonts w:ascii="Times New Roman" w:cs="Times New Roman" w:eastAsia="Times New Roman" w:hAnsi="Times New Roman"/>
          <w:sz w:val="24"/>
          <w:szCs w:val="24"/>
          <w:rtl w:val="0"/>
        </w:rPr>
        <w:t xml:space="preserve">Proces logowania rozpoczyna się od przekierowania użytkownika na stronę logowania Google, gdzie użytkownik wprowadza swoje dane logowania.</w:t>
      </w:r>
    </w:p>
    <w:p w:rsidR="00000000" w:rsidDel="00000000" w:rsidP="00000000" w:rsidRDefault="00000000" w:rsidRPr="00000000" w14:paraId="000001E0">
      <w:pPr>
        <w:numPr>
          <w:ilvl w:val="0"/>
          <w:numId w:val="1"/>
        </w:numPr>
        <w:pBdr>
          <w:top w:space="0" w:sz="0" w:val="nil"/>
          <w:left w:space="0" w:sz="0" w:val="nil"/>
          <w:bottom w:space="0" w:sz="0" w:val="nil"/>
          <w:right w:space="0" w:sz="0" w:val="nil"/>
          <w:between w:space="0" w:sz="0" w:val="nil"/>
        </w:pBdr>
        <w:spacing w:after="200" w:lineRule="auto"/>
        <w:ind w:left="714" w:hanging="35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Tokeny dostępu: </w:t>
      </w:r>
      <w:r w:rsidDel="00000000" w:rsidR="00000000" w:rsidRPr="00000000">
        <w:rPr>
          <w:rFonts w:ascii="Times New Roman" w:cs="Times New Roman" w:eastAsia="Times New Roman" w:hAnsi="Times New Roman"/>
          <w:sz w:val="24"/>
          <w:szCs w:val="24"/>
          <w:rtl w:val="0"/>
        </w:rPr>
        <w:t xml:space="preserve">Po pomyślnym zalogowaniu, Google zwraca token dostępu, który aplikacja wykorzystuje do uzyskania informacji o użytkowniku.</w:t>
      </w:r>
    </w:p>
    <w:p w:rsidR="00000000" w:rsidDel="00000000" w:rsidP="00000000" w:rsidRDefault="00000000" w:rsidRPr="00000000" w14:paraId="000001E1">
      <w:pPr>
        <w:pBdr>
          <w:top w:space="0" w:sz="0" w:val="nil"/>
          <w:left w:space="0" w:sz="0" w:val="nil"/>
          <w:bottom w:space="0" w:sz="0" w:val="nil"/>
          <w:right w:space="0" w:sz="0" w:val="nil"/>
          <w:between w:space="0" w:sz="0" w:val="nil"/>
        </w:pBdr>
        <w:spacing w:after="200" w:before="20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Bezpieczeństwo integracji:</w:t>
      </w:r>
    </w:p>
    <w:p w:rsidR="00000000" w:rsidDel="00000000" w:rsidP="00000000" w:rsidRDefault="00000000" w:rsidRPr="00000000" w14:paraId="000001E2">
      <w:pPr>
        <w:numPr>
          <w:ilvl w:val="0"/>
          <w:numId w:val="1"/>
        </w:numPr>
        <w:pBdr>
          <w:top w:space="0" w:sz="0" w:val="nil"/>
          <w:left w:space="0" w:sz="0" w:val="nil"/>
          <w:bottom w:space="0" w:sz="0" w:val="nil"/>
          <w:right w:space="0" w:sz="0" w:val="nil"/>
          <w:between w:space="0" w:sz="0" w:val="nil"/>
        </w:pBdr>
        <w:ind w:left="714" w:hanging="35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Bezpieczne przechowywanie tokenów: </w:t>
      </w:r>
      <w:r w:rsidDel="00000000" w:rsidR="00000000" w:rsidRPr="00000000">
        <w:rPr>
          <w:rFonts w:ascii="Times New Roman" w:cs="Times New Roman" w:eastAsia="Times New Roman" w:hAnsi="Times New Roman"/>
          <w:sz w:val="24"/>
          <w:szCs w:val="24"/>
          <w:rtl w:val="0"/>
        </w:rPr>
        <w:t xml:space="preserve">Tokeny dostępu i odświeżania będą przechowywane w bezpieczny sposób, z użyciem odpowiednich technik szyfrowania.</w:t>
      </w:r>
    </w:p>
    <w:p w:rsidR="00000000" w:rsidDel="00000000" w:rsidP="00000000" w:rsidRDefault="00000000" w:rsidRPr="00000000" w14:paraId="000001E3">
      <w:pPr>
        <w:numPr>
          <w:ilvl w:val="0"/>
          <w:numId w:val="1"/>
        </w:numPr>
        <w:pBdr>
          <w:top w:space="0" w:sz="0" w:val="nil"/>
          <w:left w:space="0" w:sz="0" w:val="nil"/>
          <w:bottom w:space="0" w:sz="0" w:val="nil"/>
          <w:right w:space="0" w:sz="0" w:val="nil"/>
          <w:between w:space="0" w:sz="0" w:val="nil"/>
        </w:pBdr>
        <w:ind w:left="714" w:hanging="35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Zarządzanie sesjami: </w:t>
      </w:r>
      <w:r w:rsidDel="00000000" w:rsidR="00000000" w:rsidRPr="00000000">
        <w:rPr>
          <w:rFonts w:ascii="Times New Roman" w:cs="Times New Roman" w:eastAsia="Times New Roman" w:hAnsi="Times New Roman"/>
          <w:sz w:val="24"/>
          <w:szCs w:val="24"/>
          <w:rtl w:val="0"/>
        </w:rPr>
        <w:t xml:space="preserve">Tokeny będą używane do zarządzania sesjami użytkowników, a aplikacja będzie mogła je odnawiać za pomocą tokenów odświeżania, aby utrzymać zalogowanie użytkownika bez potrzeby ponownego logowania.</w:t>
      </w:r>
    </w:p>
    <w:p w:rsidR="00000000" w:rsidDel="00000000" w:rsidP="00000000" w:rsidRDefault="00000000" w:rsidRPr="00000000" w14:paraId="000001E4">
      <w:pPr>
        <w:numPr>
          <w:ilvl w:val="0"/>
          <w:numId w:val="1"/>
        </w:numPr>
        <w:pBdr>
          <w:top w:space="0" w:sz="0" w:val="nil"/>
          <w:left w:space="0" w:sz="0" w:val="nil"/>
          <w:bottom w:space="0" w:sz="0" w:val="nil"/>
          <w:right w:space="0" w:sz="0" w:val="nil"/>
          <w:between w:space="0" w:sz="0" w:val="nil"/>
        </w:pBdr>
        <w:spacing w:after="200" w:lineRule="auto"/>
        <w:ind w:left="714" w:hanging="35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Ochrona przed CSRF: </w:t>
      </w:r>
      <w:r w:rsidDel="00000000" w:rsidR="00000000" w:rsidRPr="00000000">
        <w:rPr>
          <w:rFonts w:ascii="Times New Roman" w:cs="Times New Roman" w:eastAsia="Times New Roman" w:hAnsi="Times New Roman"/>
          <w:sz w:val="24"/>
          <w:szCs w:val="24"/>
          <w:rtl w:val="0"/>
        </w:rPr>
        <w:t xml:space="preserve">Implementacja mechanizmów ochrony przed atakami CSRF (Cross-Site Request Forgery) podczas procesu uwierzytelniania, takich jak stosowanie tokenów CSRF.</w:t>
      </w:r>
    </w:p>
    <w:p w:rsidR="00000000" w:rsidDel="00000000" w:rsidP="00000000" w:rsidRDefault="00000000" w:rsidRPr="00000000" w14:paraId="000001E5">
      <w:pPr>
        <w:pBdr>
          <w:top w:space="0" w:sz="0" w:val="nil"/>
          <w:left w:space="0" w:sz="0" w:val="nil"/>
          <w:bottom w:space="0" w:sz="0" w:val="nil"/>
          <w:right w:space="0" w:sz="0" w:val="nil"/>
          <w:between w:space="0" w:sz="0" w:val="nil"/>
        </w:pBdr>
        <w:spacing w:after="200" w:before="20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Szybkość i wygoda:</w:t>
      </w:r>
    </w:p>
    <w:p w:rsidR="00000000" w:rsidDel="00000000" w:rsidP="00000000" w:rsidRDefault="00000000" w:rsidRPr="00000000" w14:paraId="000001E6">
      <w:pPr>
        <w:numPr>
          <w:ilvl w:val="0"/>
          <w:numId w:val="1"/>
        </w:numPr>
        <w:pBdr>
          <w:top w:space="0" w:sz="0" w:val="nil"/>
          <w:left w:space="0" w:sz="0" w:val="nil"/>
          <w:bottom w:space="0" w:sz="0" w:val="nil"/>
          <w:right w:space="0" w:sz="0" w:val="nil"/>
          <w:between w:space="0" w:sz="0" w:val="nil"/>
        </w:pBdr>
        <w:ind w:left="714" w:hanging="35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Minimalizacja kroków logowania: </w:t>
      </w:r>
      <w:r w:rsidDel="00000000" w:rsidR="00000000" w:rsidRPr="00000000">
        <w:rPr>
          <w:rFonts w:ascii="Times New Roman" w:cs="Times New Roman" w:eastAsia="Times New Roman" w:hAnsi="Times New Roman"/>
          <w:sz w:val="24"/>
          <w:szCs w:val="24"/>
          <w:rtl w:val="0"/>
        </w:rPr>
        <w:t xml:space="preserve">Proces logowania z Google będzie zoptymalizowany pod kątem minimalizacji liczby kroków potrzebnych do zalogowania, co zapewni wygodę użytkownikom.</w:t>
      </w:r>
    </w:p>
    <w:p w:rsidR="00000000" w:rsidDel="00000000" w:rsidP="00000000" w:rsidRDefault="00000000" w:rsidRPr="00000000" w14:paraId="000001E7">
      <w:pPr>
        <w:numPr>
          <w:ilvl w:val="0"/>
          <w:numId w:val="1"/>
        </w:numPr>
        <w:pBdr>
          <w:top w:space="0" w:sz="0" w:val="nil"/>
          <w:left w:space="0" w:sz="0" w:val="nil"/>
          <w:bottom w:space="0" w:sz="0" w:val="nil"/>
          <w:right w:space="0" w:sz="0" w:val="nil"/>
          <w:between w:space="0" w:sz="0" w:val="nil"/>
        </w:pBdr>
        <w:ind w:left="714" w:hanging="35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Jedno kliknięcie: </w:t>
      </w:r>
      <w:r w:rsidDel="00000000" w:rsidR="00000000" w:rsidRPr="00000000">
        <w:rPr>
          <w:rFonts w:ascii="Times New Roman" w:cs="Times New Roman" w:eastAsia="Times New Roman" w:hAnsi="Times New Roman"/>
          <w:sz w:val="24"/>
          <w:szCs w:val="24"/>
          <w:rtl w:val="0"/>
        </w:rPr>
        <w:t xml:space="preserve">Po wstępnym zalogowaniu użytkownik będzie mógł ponownie logować się do aplikacji za pomocą jednego kliknięcia przy użyciu swojego konta Google.</w:t>
      </w:r>
    </w:p>
    <w:p w:rsidR="00000000" w:rsidDel="00000000" w:rsidP="00000000" w:rsidRDefault="00000000" w:rsidRPr="00000000" w14:paraId="000001E8">
      <w:pPr>
        <w:pBdr>
          <w:top w:space="0" w:sz="0" w:val="nil"/>
          <w:left w:space="0" w:sz="0" w:val="nil"/>
          <w:bottom w:space="0" w:sz="0" w:val="nil"/>
          <w:right w:space="0" w:sz="0" w:val="nil"/>
          <w:between w:space="0" w:sz="0" w:val="nil"/>
        </w:pBdr>
        <w:spacing w:after="200" w:before="20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Audyt i monitorowanie:</w:t>
      </w:r>
    </w:p>
    <w:p w:rsidR="00000000" w:rsidDel="00000000" w:rsidP="00000000" w:rsidRDefault="00000000" w:rsidRPr="00000000" w14:paraId="000001E9">
      <w:pPr>
        <w:numPr>
          <w:ilvl w:val="0"/>
          <w:numId w:val="1"/>
        </w:numPr>
        <w:pBdr>
          <w:top w:space="0" w:sz="0" w:val="nil"/>
          <w:left w:space="0" w:sz="0" w:val="nil"/>
          <w:bottom w:space="0" w:sz="0" w:val="nil"/>
          <w:right w:space="0" w:sz="0" w:val="nil"/>
          <w:between w:space="0" w:sz="0" w:val="nil"/>
        </w:pBdr>
        <w:ind w:left="714" w:hanging="35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Logi uwierzytelniania: </w:t>
      </w:r>
      <w:r w:rsidDel="00000000" w:rsidR="00000000" w:rsidRPr="00000000">
        <w:rPr>
          <w:rFonts w:ascii="Times New Roman" w:cs="Times New Roman" w:eastAsia="Times New Roman" w:hAnsi="Times New Roman"/>
          <w:sz w:val="24"/>
          <w:szCs w:val="24"/>
          <w:rtl w:val="0"/>
        </w:rPr>
        <w:t xml:space="preserve">Rejestrowanie wszystkich prób logowania przez Google, w tym udanych i nieudanych, wraz z informacjami o dacie, czasie i adresie IP.</w:t>
      </w:r>
    </w:p>
    <w:p w:rsidR="00000000" w:rsidDel="00000000" w:rsidP="00000000" w:rsidRDefault="00000000" w:rsidRPr="00000000" w14:paraId="000001EA">
      <w:pPr>
        <w:numPr>
          <w:ilvl w:val="0"/>
          <w:numId w:val="1"/>
        </w:numPr>
        <w:pBdr>
          <w:top w:space="0" w:sz="0" w:val="nil"/>
          <w:left w:space="0" w:sz="0" w:val="nil"/>
          <w:bottom w:space="0" w:sz="0" w:val="nil"/>
          <w:right w:space="0" w:sz="0" w:val="nil"/>
          <w:between w:space="0" w:sz="0" w:val="nil"/>
        </w:pBdr>
        <w:spacing w:after="200" w:lineRule="auto"/>
        <w:ind w:left="714" w:hanging="35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Analiza aktywności: </w:t>
      </w:r>
      <w:r w:rsidDel="00000000" w:rsidR="00000000" w:rsidRPr="00000000">
        <w:rPr>
          <w:rFonts w:ascii="Times New Roman" w:cs="Times New Roman" w:eastAsia="Times New Roman" w:hAnsi="Times New Roman"/>
          <w:sz w:val="24"/>
          <w:szCs w:val="24"/>
          <w:rtl w:val="0"/>
        </w:rPr>
        <w:t xml:space="preserve">Regularna analiza logów uwierzytelniania w celu wykrywania nietypowych wzorców logowania, które mogą wskazywać na próby nieautoryzowanego dostępu.</w:t>
      </w:r>
    </w:p>
    <w:p w:rsidR="00000000" w:rsidDel="00000000" w:rsidP="00000000" w:rsidRDefault="00000000" w:rsidRPr="00000000" w14:paraId="000001EB">
      <w:pPr>
        <w:pStyle w:val="Heading4"/>
        <w:numPr>
          <w:ilvl w:val="3"/>
          <w:numId w:val="22"/>
        </w:numPr>
        <w:pBdr>
          <w:top w:space="0" w:sz="0" w:val="nil"/>
          <w:left w:space="0" w:sz="0" w:val="nil"/>
          <w:bottom w:space="0" w:sz="0" w:val="nil"/>
          <w:right w:space="0" w:sz="0" w:val="nil"/>
          <w:between w:space="0" w:sz="0" w:val="nil"/>
        </w:pBdr>
        <w:ind w:left="708" w:hanging="141"/>
        <w:rPr/>
      </w:pPr>
      <w:bookmarkStart w:colFirst="0" w:colLast="0" w:name="_heading=h.3o7alnk" w:id="32"/>
      <w:bookmarkEnd w:id="32"/>
      <w:r w:rsidDel="00000000" w:rsidR="00000000" w:rsidRPr="00000000">
        <w:rPr>
          <w:rtl w:val="0"/>
        </w:rPr>
        <w:t xml:space="preserve">Zarządzanie użytkownikami przez Administratora</w:t>
      </w:r>
    </w:p>
    <w:p w:rsidR="00000000" w:rsidDel="00000000" w:rsidP="00000000" w:rsidRDefault="00000000" w:rsidRPr="00000000" w14:paraId="000001EC">
      <w:pPr>
        <w:numPr>
          <w:ilvl w:val="0"/>
          <w:numId w:val="1"/>
        </w:numPr>
        <w:ind w:left="714" w:hanging="35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Dodawanie użytkowników: </w:t>
      </w:r>
      <w:r w:rsidDel="00000000" w:rsidR="00000000" w:rsidRPr="00000000">
        <w:rPr>
          <w:rFonts w:ascii="Times New Roman" w:cs="Times New Roman" w:eastAsia="Times New Roman" w:hAnsi="Times New Roman"/>
          <w:sz w:val="24"/>
          <w:szCs w:val="24"/>
          <w:rtl w:val="0"/>
        </w:rPr>
        <w:t xml:space="preserve">Administratorzy będą mogli ręcznie dodawać nowych użytkowników, wypełniając formularz rejestracyjny, wprowadzając ich dane osobowe, role oraz inne istotne informacje.</w:t>
      </w:r>
      <w:r w:rsidDel="00000000" w:rsidR="00000000" w:rsidRPr="00000000">
        <w:rPr>
          <w:rtl w:val="0"/>
        </w:rPr>
      </w:r>
    </w:p>
    <w:p w:rsidR="00000000" w:rsidDel="00000000" w:rsidP="00000000" w:rsidRDefault="00000000" w:rsidRPr="00000000" w14:paraId="000001ED">
      <w:pPr>
        <w:numPr>
          <w:ilvl w:val="0"/>
          <w:numId w:val="1"/>
        </w:numPr>
        <w:ind w:left="714" w:hanging="35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Edycja profili użytkowników: </w:t>
      </w:r>
      <w:r w:rsidDel="00000000" w:rsidR="00000000" w:rsidRPr="00000000">
        <w:rPr>
          <w:rFonts w:ascii="Times New Roman" w:cs="Times New Roman" w:eastAsia="Times New Roman" w:hAnsi="Times New Roman"/>
          <w:sz w:val="24"/>
          <w:szCs w:val="24"/>
          <w:rtl w:val="0"/>
        </w:rPr>
        <w:t xml:space="preserve">Administratorzy będą mogli edytować profile użytkowników, w tym role oraz ustawienia konta.</w:t>
      </w:r>
      <w:r w:rsidDel="00000000" w:rsidR="00000000" w:rsidRPr="00000000">
        <w:rPr>
          <w:rtl w:val="0"/>
        </w:rPr>
      </w:r>
    </w:p>
    <w:p w:rsidR="00000000" w:rsidDel="00000000" w:rsidP="00000000" w:rsidRDefault="00000000" w:rsidRPr="00000000" w14:paraId="000001EE">
      <w:pPr>
        <w:numPr>
          <w:ilvl w:val="0"/>
          <w:numId w:val="1"/>
        </w:numPr>
        <w:spacing w:after="200" w:lineRule="auto"/>
        <w:ind w:left="714" w:hanging="35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Dezaktywacja kont: </w:t>
      </w:r>
      <w:r w:rsidDel="00000000" w:rsidR="00000000" w:rsidRPr="00000000">
        <w:rPr>
          <w:rFonts w:ascii="Times New Roman" w:cs="Times New Roman" w:eastAsia="Times New Roman" w:hAnsi="Times New Roman"/>
          <w:sz w:val="24"/>
          <w:szCs w:val="24"/>
          <w:rtl w:val="0"/>
        </w:rPr>
        <w:t xml:space="preserve">Administratorzy będą mieli możliwość dezaktywowania kont użytkowników (co uniemożliwi im logowanie), informacje o użytkownikach nie będą usuwane.</w:t>
      </w:r>
      <w:r w:rsidDel="00000000" w:rsidR="00000000" w:rsidRPr="00000000">
        <w:rPr>
          <w:rtl w:val="0"/>
        </w:rPr>
      </w:r>
    </w:p>
    <w:p w:rsidR="00000000" w:rsidDel="00000000" w:rsidP="00000000" w:rsidRDefault="00000000" w:rsidRPr="00000000" w14:paraId="000001EF">
      <w:pPr>
        <w:pStyle w:val="Heading4"/>
        <w:numPr>
          <w:ilvl w:val="3"/>
          <w:numId w:val="22"/>
        </w:numPr>
        <w:pBdr>
          <w:top w:space="0" w:sz="0" w:val="nil"/>
          <w:left w:space="0" w:sz="0" w:val="nil"/>
          <w:bottom w:space="0" w:sz="0" w:val="nil"/>
          <w:right w:space="0" w:sz="0" w:val="nil"/>
          <w:between w:space="0" w:sz="0" w:val="nil"/>
        </w:pBdr>
        <w:ind w:left="708" w:hanging="141"/>
        <w:rPr/>
      </w:pPr>
      <w:bookmarkStart w:colFirst="0" w:colLast="0" w:name="_heading=h.23ckvvd" w:id="33"/>
      <w:bookmarkEnd w:id="33"/>
      <w:r w:rsidDel="00000000" w:rsidR="00000000" w:rsidRPr="00000000">
        <w:rPr>
          <w:rtl w:val="0"/>
        </w:rPr>
        <w:t xml:space="preserve">Powiadomienia i komunikacja</w:t>
      </w:r>
    </w:p>
    <w:p w:rsidR="00000000" w:rsidDel="00000000" w:rsidP="00000000" w:rsidRDefault="00000000" w:rsidRPr="00000000" w14:paraId="000001F0">
      <w:pPr>
        <w:numPr>
          <w:ilvl w:val="0"/>
          <w:numId w:val="1"/>
        </w:numPr>
        <w:ind w:left="714" w:hanging="35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Powiadomienia e-mail: </w:t>
      </w:r>
      <w:r w:rsidDel="00000000" w:rsidR="00000000" w:rsidRPr="00000000">
        <w:rPr>
          <w:rFonts w:ascii="Times New Roman" w:cs="Times New Roman" w:eastAsia="Times New Roman" w:hAnsi="Times New Roman"/>
          <w:sz w:val="24"/>
          <w:szCs w:val="24"/>
          <w:rtl w:val="0"/>
        </w:rPr>
        <w:t xml:space="preserve">Narzędzie będzie wysyłać użytkownikom powiadomienia e-mail dotyczące ważnych zdarzeń związanych z kontem, takich jak rejestracja, weryfikacja e-mail, blokada konta, itp. Rodzaje powiadomień i ich treść zostanie uzgodniona z Wykonawcą po podpisaniu umowy.</w:t>
      </w:r>
      <w:r w:rsidDel="00000000" w:rsidR="00000000" w:rsidRPr="00000000">
        <w:rPr>
          <w:rtl w:val="0"/>
        </w:rPr>
      </w:r>
    </w:p>
    <w:p w:rsidR="00000000" w:rsidDel="00000000" w:rsidP="00000000" w:rsidRDefault="00000000" w:rsidRPr="00000000" w14:paraId="000001F1">
      <w:pPr>
        <w:pStyle w:val="Heading3"/>
        <w:numPr>
          <w:ilvl w:val="2"/>
          <w:numId w:val="22"/>
        </w:numPr>
        <w:ind w:left="566" w:hanging="141"/>
        <w:rPr/>
      </w:pPr>
      <w:bookmarkStart w:colFirst="0" w:colLast="0" w:name="_heading=h.ihv636" w:id="34"/>
      <w:bookmarkEnd w:id="34"/>
      <w:r w:rsidDel="00000000" w:rsidR="00000000" w:rsidRPr="00000000">
        <w:rPr>
          <w:rtl w:val="0"/>
        </w:rPr>
        <w:t xml:space="preserve">Moduł do tagowania danych</w:t>
      </w:r>
    </w:p>
    <w:p w:rsidR="00000000" w:rsidDel="00000000" w:rsidP="00000000" w:rsidRDefault="00000000" w:rsidRPr="00000000" w14:paraId="000001F2">
      <w:pPr>
        <w:pBdr>
          <w:top w:space="0" w:sz="0" w:val="nil"/>
          <w:left w:space="0" w:sz="0" w:val="nil"/>
          <w:bottom w:space="0" w:sz="0" w:val="nil"/>
          <w:right w:space="0" w:sz="0" w:val="nil"/>
          <w:between w:space="0" w:sz="0" w:val="nil"/>
        </w:pBdr>
        <w:spacing w:after="200" w:before="20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Moduł do tagowania danych ma na celu ułatwienie organizacji, kategoryzacji i wyszukiwania danych poprzez przypisywanie etykiet (tagów) do poszczególnych rekordów. Dzięki temu użytkownicy będą mogli szybciej znajdować interesujące ich informacje oraz analizować dane według określonych kategorii.</w:t>
      </w:r>
    </w:p>
    <w:p w:rsidR="00000000" w:rsidDel="00000000" w:rsidP="00000000" w:rsidRDefault="00000000" w:rsidRPr="00000000" w14:paraId="000001F3">
      <w:pPr>
        <w:pStyle w:val="Heading4"/>
        <w:numPr>
          <w:ilvl w:val="3"/>
          <w:numId w:val="22"/>
        </w:numPr>
        <w:pBdr>
          <w:top w:space="0" w:sz="0" w:val="nil"/>
          <w:left w:space="0" w:sz="0" w:val="nil"/>
          <w:bottom w:space="0" w:sz="0" w:val="nil"/>
          <w:right w:space="0" w:sz="0" w:val="nil"/>
          <w:between w:space="0" w:sz="0" w:val="nil"/>
        </w:pBdr>
        <w:ind w:left="708" w:hanging="141"/>
        <w:rPr/>
      </w:pPr>
      <w:bookmarkStart w:colFirst="0" w:colLast="0" w:name="_heading=h.32hioqz" w:id="35"/>
      <w:bookmarkEnd w:id="35"/>
      <w:r w:rsidDel="00000000" w:rsidR="00000000" w:rsidRPr="00000000">
        <w:rPr>
          <w:rtl w:val="0"/>
        </w:rPr>
        <w:t xml:space="preserve">Tworzenie i zarządzanie tagami</w:t>
      </w:r>
    </w:p>
    <w:p w:rsidR="00000000" w:rsidDel="00000000" w:rsidP="00000000" w:rsidRDefault="00000000" w:rsidRPr="00000000" w14:paraId="000001F4">
      <w:pPr>
        <w:numPr>
          <w:ilvl w:val="0"/>
          <w:numId w:val="1"/>
        </w:numPr>
        <w:pBdr>
          <w:top w:space="0" w:sz="0" w:val="nil"/>
          <w:left w:space="0" w:sz="0" w:val="nil"/>
          <w:bottom w:space="0" w:sz="0" w:val="nil"/>
          <w:right w:space="0" w:sz="0" w:val="nil"/>
          <w:between w:space="0" w:sz="0" w:val="nil"/>
        </w:pBdr>
        <w:ind w:left="714" w:hanging="35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Dodawanie tagów: </w:t>
      </w:r>
      <w:r w:rsidDel="00000000" w:rsidR="00000000" w:rsidRPr="00000000">
        <w:rPr>
          <w:rFonts w:ascii="Times New Roman" w:cs="Times New Roman" w:eastAsia="Times New Roman" w:hAnsi="Times New Roman"/>
          <w:sz w:val="24"/>
          <w:szCs w:val="24"/>
          <w:rtl w:val="0"/>
        </w:rPr>
        <w:t xml:space="preserve">Użytkownicy będą mogli tworzyć tagi, które będą przypisywane do rekordów danych. Tag może składać się z nazwy oraz opcjonalnego opisu.</w:t>
      </w:r>
    </w:p>
    <w:p w:rsidR="00000000" w:rsidDel="00000000" w:rsidP="00000000" w:rsidRDefault="00000000" w:rsidRPr="00000000" w14:paraId="000001F5">
      <w:pPr>
        <w:numPr>
          <w:ilvl w:val="0"/>
          <w:numId w:val="1"/>
        </w:numPr>
        <w:pBdr>
          <w:top w:space="0" w:sz="0" w:val="nil"/>
          <w:left w:space="0" w:sz="0" w:val="nil"/>
          <w:bottom w:space="0" w:sz="0" w:val="nil"/>
          <w:right w:space="0" w:sz="0" w:val="nil"/>
          <w:between w:space="0" w:sz="0" w:val="nil"/>
        </w:pBdr>
        <w:ind w:left="714" w:hanging="35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Edycja i usuwanie tagów: </w:t>
      </w:r>
      <w:r w:rsidDel="00000000" w:rsidR="00000000" w:rsidRPr="00000000">
        <w:rPr>
          <w:rFonts w:ascii="Times New Roman" w:cs="Times New Roman" w:eastAsia="Times New Roman" w:hAnsi="Times New Roman"/>
          <w:sz w:val="24"/>
          <w:szCs w:val="24"/>
          <w:rtl w:val="0"/>
        </w:rPr>
        <w:t xml:space="preserve">Użytkownicy będą mogli edytować istniejące tagi, zmieniając ich nazwy lub opisy, oraz usuwać tagi, które nie są już potrzebne.</w:t>
      </w:r>
    </w:p>
    <w:p w:rsidR="00000000" w:rsidDel="00000000" w:rsidP="00000000" w:rsidRDefault="00000000" w:rsidRPr="00000000" w14:paraId="000001F6">
      <w:pPr>
        <w:numPr>
          <w:ilvl w:val="0"/>
          <w:numId w:val="1"/>
        </w:numPr>
        <w:pBdr>
          <w:top w:space="0" w:sz="0" w:val="nil"/>
          <w:left w:space="0" w:sz="0" w:val="nil"/>
          <w:bottom w:space="0" w:sz="0" w:val="nil"/>
          <w:right w:space="0" w:sz="0" w:val="nil"/>
          <w:between w:space="0" w:sz="0" w:val="nil"/>
        </w:pBdr>
        <w:spacing w:after="200" w:lineRule="auto"/>
        <w:ind w:left="714" w:hanging="35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Organizacja tagów: </w:t>
      </w:r>
      <w:r w:rsidDel="00000000" w:rsidR="00000000" w:rsidRPr="00000000">
        <w:rPr>
          <w:rFonts w:ascii="Times New Roman" w:cs="Times New Roman" w:eastAsia="Times New Roman" w:hAnsi="Times New Roman"/>
          <w:sz w:val="24"/>
          <w:szCs w:val="24"/>
          <w:rtl w:val="0"/>
        </w:rPr>
        <w:t xml:space="preserve">Będzie istniała możliwość organizowania tagów w hierarchie lub grupy, co ułatwi zarządzanie nimi i wyszukiwanie.</w:t>
      </w:r>
    </w:p>
    <w:p w:rsidR="00000000" w:rsidDel="00000000" w:rsidP="00000000" w:rsidRDefault="00000000" w:rsidRPr="00000000" w14:paraId="000001F7">
      <w:pPr>
        <w:pStyle w:val="Heading4"/>
        <w:numPr>
          <w:ilvl w:val="3"/>
          <w:numId w:val="22"/>
        </w:numPr>
        <w:pBdr>
          <w:top w:space="0" w:sz="0" w:val="nil"/>
          <w:left w:space="0" w:sz="0" w:val="nil"/>
          <w:bottom w:space="0" w:sz="0" w:val="nil"/>
          <w:right w:space="0" w:sz="0" w:val="nil"/>
          <w:between w:space="0" w:sz="0" w:val="nil"/>
        </w:pBdr>
        <w:ind w:left="708" w:hanging="141"/>
        <w:rPr/>
      </w:pPr>
      <w:bookmarkStart w:colFirst="0" w:colLast="0" w:name="_heading=h.1hmsyys" w:id="36"/>
      <w:bookmarkEnd w:id="36"/>
      <w:r w:rsidDel="00000000" w:rsidR="00000000" w:rsidRPr="00000000">
        <w:rPr>
          <w:rtl w:val="0"/>
        </w:rPr>
        <w:t xml:space="preserve">Przypisywanie tagów do danych</w:t>
      </w:r>
    </w:p>
    <w:p w:rsidR="00000000" w:rsidDel="00000000" w:rsidP="00000000" w:rsidRDefault="00000000" w:rsidRPr="00000000" w14:paraId="000001F8">
      <w:pPr>
        <w:numPr>
          <w:ilvl w:val="0"/>
          <w:numId w:val="1"/>
        </w:numPr>
        <w:pBdr>
          <w:top w:space="0" w:sz="0" w:val="nil"/>
          <w:left w:space="0" w:sz="0" w:val="nil"/>
          <w:bottom w:space="0" w:sz="0" w:val="nil"/>
          <w:right w:space="0" w:sz="0" w:val="nil"/>
          <w:between w:space="0" w:sz="0" w:val="nil"/>
        </w:pBdr>
        <w:ind w:left="714" w:hanging="35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Tagowanie ręczne: </w:t>
      </w:r>
      <w:r w:rsidDel="00000000" w:rsidR="00000000" w:rsidRPr="00000000">
        <w:rPr>
          <w:rFonts w:ascii="Times New Roman" w:cs="Times New Roman" w:eastAsia="Times New Roman" w:hAnsi="Times New Roman"/>
          <w:sz w:val="24"/>
          <w:szCs w:val="24"/>
          <w:rtl w:val="0"/>
        </w:rPr>
        <w:t xml:space="preserve">Użytkownicy będą mogli ręcznie przypisywać tagi do poszczególnych rekordów danych poprzez interfejs użytkownika.</w:t>
      </w:r>
    </w:p>
    <w:p w:rsidR="00000000" w:rsidDel="00000000" w:rsidP="00000000" w:rsidRDefault="00000000" w:rsidRPr="00000000" w14:paraId="000001F9">
      <w:pPr>
        <w:numPr>
          <w:ilvl w:val="0"/>
          <w:numId w:val="1"/>
        </w:numPr>
        <w:pBdr>
          <w:top w:space="0" w:sz="0" w:val="nil"/>
          <w:left w:space="0" w:sz="0" w:val="nil"/>
          <w:bottom w:space="0" w:sz="0" w:val="nil"/>
          <w:right w:space="0" w:sz="0" w:val="nil"/>
          <w:between w:space="0" w:sz="0" w:val="nil"/>
        </w:pBdr>
        <w:ind w:left="714" w:hanging="35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Tagowanie masowe:</w:t>
      </w:r>
      <w:r w:rsidDel="00000000" w:rsidR="00000000" w:rsidRPr="00000000">
        <w:rPr>
          <w:rFonts w:ascii="Times New Roman" w:cs="Times New Roman" w:eastAsia="Times New Roman" w:hAnsi="Times New Roman"/>
          <w:sz w:val="24"/>
          <w:szCs w:val="24"/>
          <w:rtl w:val="0"/>
        </w:rPr>
        <w:t xml:space="preserve"> Będzie istniała możliwość przypisywania tagów do wielu rekordów jednocześnie, co przyspieszy proces tagowania dużych zbiorów danych.</w:t>
      </w:r>
    </w:p>
    <w:p w:rsidR="00000000" w:rsidDel="00000000" w:rsidP="00000000" w:rsidRDefault="00000000" w:rsidRPr="00000000" w14:paraId="000001FA">
      <w:pPr>
        <w:numPr>
          <w:ilvl w:val="0"/>
          <w:numId w:val="1"/>
        </w:numPr>
        <w:pBdr>
          <w:top w:space="0" w:sz="0" w:val="nil"/>
          <w:left w:space="0" w:sz="0" w:val="nil"/>
          <w:bottom w:space="0" w:sz="0" w:val="nil"/>
          <w:right w:space="0" w:sz="0" w:val="nil"/>
          <w:between w:space="0" w:sz="0" w:val="nil"/>
        </w:pBdr>
        <w:spacing w:after="200" w:lineRule="auto"/>
        <w:ind w:left="714" w:hanging="35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Automatyczne tagowanie: </w:t>
      </w:r>
      <w:r w:rsidDel="00000000" w:rsidR="00000000" w:rsidRPr="00000000">
        <w:rPr>
          <w:rFonts w:ascii="Times New Roman" w:cs="Times New Roman" w:eastAsia="Times New Roman" w:hAnsi="Times New Roman"/>
          <w:sz w:val="24"/>
          <w:szCs w:val="24"/>
          <w:rtl w:val="0"/>
        </w:rPr>
        <w:t xml:space="preserve">Opcjonalnie, narzędzie może wspierać automatyczne tagowanie danych na podstawie określonych reguł.</w:t>
      </w:r>
    </w:p>
    <w:p w:rsidR="00000000" w:rsidDel="00000000" w:rsidP="00000000" w:rsidRDefault="00000000" w:rsidRPr="00000000" w14:paraId="000001FB">
      <w:pPr>
        <w:pStyle w:val="Heading4"/>
        <w:numPr>
          <w:ilvl w:val="3"/>
          <w:numId w:val="22"/>
        </w:numPr>
        <w:pBdr>
          <w:top w:space="0" w:sz="0" w:val="nil"/>
          <w:left w:space="0" w:sz="0" w:val="nil"/>
          <w:bottom w:space="0" w:sz="0" w:val="nil"/>
          <w:right w:space="0" w:sz="0" w:val="nil"/>
          <w:between w:space="0" w:sz="0" w:val="nil"/>
        </w:pBdr>
        <w:ind w:left="708" w:hanging="141"/>
        <w:rPr/>
      </w:pPr>
      <w:bookmarkStart w:colFirst="0" w:colLast="0" w:name="_heading=h.41mghml" w:id="37"/>
      <w:bookmarkEnd w:id="37"/>
      <w:r w:rsidDel="00000000" w:rsidR="00000000" w:rsidRPr="00000000">
        <w:rPr>
          <w:rtl w:val="0"/>
        </w:rPr>
        <w:t xml:space="preserve">Wyszukiwanie i filtrowanie danych według tagów</w:t>
      </w:r>
    </w:p>
    <w:p w:rsidR="00000000" w:rsidDel="00000000" w:rsidP="00000000" w:rsidRDefault="00000000" w:rsidRPr="00000000" w14:paraId="000001FC">
      <w:pPr>
        <w:numPr>
          <w:ilvl w:val="0"/>
          <w:numId w:val="1"/>
        </w:numPr>
        <w:pBdr>
          <w:top w:space="0" w:sz="0" w:val="nil"/>
          <w:left w:space="0" w:sz="0" w:val="nil"/>
          <w:bottom w:space="0" w:sz="0" w:val="nil"/>
          <w:right w:space="0" w:sz="0" w:val="nil"/>
          <w:between w:space="0" w:sz="0" w:val="nil"/>
        </w:pBdr>
        <w:ind w:left="714" w:hanging="35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Wyszukiwarka tagów: </w:t>
      </w:r>
      <w:r w:rsidDel="00000000" w:rsidR="00000000" w:rsidRPr="00000000">
        <w:rPr>
          <w:rFonts w:ascii="Times New Roman" w:cs="Times New Roman" w:eastAsia="Times New Roman" w:hAnsi="Times New Roman"/>
          <w:sz w:val="24"/>
          <w:szCs w:val="24"/>
          <w:rtl w:val="0"/>
        </w:rPr>
        <w:t xml:space="preserve">Użytkownicy będą mogli wyszukiwać dane za pomocą tagów, wpisując lub wybierając nazwy tagów w polu wyszukiwania.</w:t>
      </w:r>
    </w:p>
    <w:p w:rsidR="00000000" w:rsidDel="00000000" w:rsidP="00000000" w:rsidRDefault="00000000" w:rsidRPr="00000000" w14:paraId="000001FD">
      <w:pPr>
        <w:numPr>
          <w:ilvl w:val="0"/>
          <w:numId w:val="1"/>
        </w:numPr>
        <w:pBdr>
          <w:top w:space="0" w:sz="0" w:val="nil"/>
          <w:left w:space="0" w:sz="0" w:val="nil"/>
          <w:bottom w:space="0" w:sz="0" w:val="nil"/>
          <w:right w:space="0" w:sz="0" w:val="nil"/>
          <w:between w:space="0" w:sz="0" w:val="nil"/>
        </w:pBdr>
        <w:ind w:left="714" w:hanging="35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Filtrowanie danych: </w:t>
      </w:r>
      <w:r w:rsidDel="00000000" w:rsidR="00000000" w:rsidRPr="00000000">
        <w:rPr>
          <w:rFonts w:ascii="Times New Roman" w:cs="Times New Roman" w:eastAsia="Times New Roman" w:hAnsi="Times New Roman"/>
          <w:sz w:val="24"/>
          <w:szCs w:val="24"/>
          <w:rtl w:val="0"/>
        </w:rPr>
        <w:t xml:space="preserve">W narzędziu zostanie zapewniona możliwość filtrowania wyświetlanych danych na podstawie przypisanych tagów, co ułatwi użytkownikom znalezienie interesujących ich informacji.</w:t>
      </w:r>
    </w:p>
    <w:p w:rsidR="00000000" w:rsidDel="00000000" w:rsidP="00000000" w:rsidRDefault="00000000" w:rsidRPr="00000000" w14:paraId="000001FE">
      <w:pPr>
        <w:numPr>
          <w:ilvl w:val="0"/>
          <w:numId w:val="1"/>
        </w:numPr>
        <w:pBdr>
          <w:top w:space="0" w:sz="0" w:val="nil"/>
          <w:left w:space="0" w:sz="0" w:val="nil"/>
          <w:bottom w:space="0" w:sz="0" w:val="nil"/>
          <w:right w:space="0" w:sz="0" w:val="nil"/>
          <w:between w:space="0" w:sz="0" w:val="nil"/>
        </w:pBdr>
        <w:spacing w:after="200" w:lineRule="auto"/>
        <w:ind w:left="714" w:hanging="35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Kombinacje tagów: </w:t>
      </w:r>
      <w:r w:rsidDel="00000000" w:rsidR="00000000" w:rsidRPr="00000000">
        <w:rPr>
          <w:rFonts w:ascii="Times New Roman" w:cs="Times New Roman" w:eastAsia="Times New Roman" w:hAnsi="Times New Roman"/>
          <w:sz w:val="24"/>
          <w:szCs w:val="24"/>
          <w:rtl w:val="0"/>
        </w:rPr>
        <w:t xml:space="preserve">Użytkownicy będą mogli tworzyć złożone zapytania wyszukiwawcze, łącząc różne tagi za pomocą operatorów logicznych (AND, OR, NOT).</w:t>
      </w:r>
    </w:p>
    <w:p w:rsidR="00000000" w:rsidDel="00000000" w:rsidP="00000000" w:rsidRDefault="00000000" w:rsidRPr="00000000" w14:paraId="000001FF">
      <w:pPr>
        <w:pStyle w:val="Heading4"/>
        <w:numPr>
          <w:ilvl w:val="3"/>
          <w:numId w:val="22"/>
        </w:numPr>
        <w:pBdr>
          <w:top w:space="0" w:sz="0" w:val="nil"/>
          <w:left w:space="0" w:sz="0" w:val="nil"/>
          <w:bottom w:space="0" w:sz="0" w:val="nil"/>
          <w:right w:space="0" w:sz="0" w:val="nil"/>
          <w:between w:space="0" w:sz="0" w:val="nil"/>
        </w:pBdr>
        <w:ind w:left="708" w:hanging="141"/>
        <w:rPr/>
      </w:pPr>
      <w:bookmarkStart w:colFirst="0" w:colLast="0" w:name="_heading=h.2grqrue" w:id="38"/>
      <w:bookmarkEnd w:id="38"/>
      <w:r w:rsidDel="00000000" w:rsidR="00000000" w:rsidRPr="00000000">
        <w:rPr>
          <w:rtl w:val="0"/>
        </w:rPr>
        <w:t xml:space="preserve">Integracja z interfejsem użytkownika</w:t>
      </w:r>
    </w:p>
    <w:p w:rsidR="00000000" w:rsidDel="00000000" w:rsidP="00000000" w:rsidRDefault="00000000" w:rsidRPr="00000000" w14:paraId="00000200">
      <w:pPr>
        <w:numPr>
          <w:ilvl w:val="0"/>
          <w:numId w:val="1"/>
        </w:numPr>
        <w:pBdr>
          <w:top w:space="0" w:sz="0" w:val="nil"/>
          <w:left w:space="0" w:sz="0" w:val="nil"/>
          <w:bottom w:space="0" w:sz="0" w:val="nil"/>
          <w:right w:space="0" w:sz="0" w:val="nil"/>
          <w:between w:space="0" w:sz="0" w:val="nil"/>
        </w:pBdr>
        <w:ind w:left="714" w:hanging="35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Integracja z głównym interfejsem: </w:t>
      </w:r>
      <w:r w:rsidDel="00000000" w:rsidR="00000000" w:rsidRPr="00000000">
        <w:rPr>
          <w:rFonts w:ascii="Times New Roman" w:cs="Times New Roman" w:eastAsia="Times New Roman" w:hAnsi="Times New Roman"/>
          <w:sz w:val="24"/>
          <w:szCs w:val="24"/>
          <w:rtl w:val="0"/>
        </w:rPr>
        <w:t xml:space="preserve">Moduł będzie zintegrowany z głównym interfejsem użytkownika, umożliwiając łatwy dostęp do funkcji tagowania bez konieczności przełączania się między różnymi sekcjami narzędzia.</w:t>
      </w:r>
    </w:p>
    <w:p w:rsidR="00000000" w:rsidDel="00000000" w:rsidP="00000000" w:rsidRDefault="00000000" w:rsidRPr="00000000" w14:paraId="00000201">
      <w:pPr>
        <w:pStyle w:val="Heading3"/>
        <w:numPr>
          <w:ilvl w:val="2"/>
          <w:numId w:val="22"/>
        </w:numPr>
        <w:ind w:left="566" w:hanging="141"/>
        <w:rPr/>
      </w:pPr>
      <w:bookmarkStart w:colFirst="0" w:colLast="0" w:name="_heading=h.vx1227" w:id="39"/>
      <w:bookmarkEnd w:id="39"/>
      <w:r w:rsidDel="00000000" w:rsidR="00000000" w:rsidRPr="00000000">
        <w:rPr>
          <w:rtl w:val="0"/>
        </w:rPr>
        <w:t xml:space="preserve">Historia przetwarzania danych</w:t>
      </w:r>
    </w:p>
    <w:p w:rsidR="00000000" w:rsidDel="00000000" w:rsidP="00000000" w:rsidRDefault="00000000" w:rsidRPr="00000000" w14:paraId="00000202">
      <w:pPr>
        <w:pStyle w:val="Heading4"/>
        <w:numPr>
          <w:ilvl w:val="3"/>
          <w:numId w:val="22"/>
        </w:numPr>
        <w:pBdr>
          <w:top w:space="0" w:sz="0" w:val="nil"/>
          <w:left w:space="0" w:sz="0" w:val="nil"/>
          <w:bottom w:space="0" w:sz="0" w:val="nil"/>
          <w:right w:space="0" w:sz="0" w:val="nil"/>
          <w:between w:space="0" w:sz="0" w:val="nil"/>
        </w:pBdr>
        <w:ind w:left="708" w:hanging="141"/>
        <w:rPr/>
      </w:pPr>
      <w:bookmarkStart w:colFirst="0" w:colLast="0" w:name="_heading=h.3fwokq0" w:id="40"/>
      <w:bookmarkEnd w:id="40"/>
      <w:r w:rsidDel="00000000" w:rsidR="00000000" w:rsidRPr="00000000">
        <w:rPr>
          <w:rtl w:val="0"/>
        </w:rPr>
        <w:t xml:space="preserve">Logowanie operacji na danych</w:t>
      </w:r>
    </w:p>
    <w:p w:rsidR="00000000" w:rsidDel="00000000" w:rsidP="00000000" w:rsidRDefault="00000000" w:rsidRPr="00000000" w14:paraId="00000203">
      <w:pPr>
        <w:numPr>
          <w:ilvl w:val="0"/>
          <w:numId w:val="1"/>
        </w:numPr>
        <w:ind w:left="714" w:hanging="35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Rejestracja operacji: </w:t>
      </w:r>
      <w:r w:rsidDel="00000000" w:rsidR="00000000" w:rsidRPr="00000000">
        <w:rPr>
          <w:rFonts w:ascii="Times New Roman" w:cs="Times New Roman" w:eastAsia="Times New Roman" w:hAnsi="Times New Roman"/>
          <w:sz w:val="24"/>
          <w:szCs w:val="24"/>
          <w:rtl w:val="0"/>
        </w:rPr>
        <w:t xml:space="preserve">W narzędziu będą rejestrowane wszystkie operacje na danych, takie jak dodawanie nowych rekordów, edycja istniejących rekordów oraz usuwanie danych.</w:t>
      </w:r>
      <w:r w:rsidDel="00000000" w:rsidR="00000000" w:rsidRPr="00000000">
        <w:rPr>
          <w:rtl w:val="0"/>
        </w:rPr>
      </w:r>
    </w:p>
    <w:p w:rsidR="00000000" w:rsidDel="00000000" w:rsidP="00000000" w:rsidRDefault="00000000" w:rsidRPr="00000000" w14:paraId="00000204">
      <w:pPr>
        <w:numPr>
          <w:ilvl w:val="0"/>
          <w:numId w:val="1"/>
        </w:numPr>
        <w:spacing w:after="200" w:lineRule="auto"/>
        <w:ind w:left="714" w:hanging="35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Szczegóły operacji: </w:t>
      </w:r>
      <w:r w:rsidDel="00000000" w:rsidR="00000000" w:rsidRPr="00000000">
        <w:rPr>
          <w:rFonts w:ascii="Times New Roman" w:cs="Times New Roman" w:eastAsia="Times New Roman" w:hAnsi="Times New Roman"/>
          <w:sz w:val="24"/>
          <w:szCs w:val="24"/>
          <w:rtl w:val="0"/>
        </w:rPr>
        <w:t xml:space="preserve">Dla każdej operacji w narzędziu zostaną zapisane szczegółowe informacje, w tym: identyfikator użytkownika, który dokonał operacji, czas wykonania operacji (data, godzina), rodzaj operacji (dodanie, edycja, usunięcie), szczegółowe zmiany w danych (np. jakie wartości zostały zmienione).</w:t>
      </w:r>
      <w:r w:rsidDel="00000000" w:rsidR="00000000" w:rsidRPr="00000000">
        <w:rPr>
          <w:rtl w:val="0"/>
        </w:rPr>
      </w:r>
    </w:p>
    <w:p w:rsidR="00000000" w:rsidDel="00000000" w:rsidP="00000000" w:rsidRDefault="00000000" w:rsidRPr="00000000" w14:paraId="00000205">
      <w:pPr>
        <w:pStyle w:val="Heading4"/>
        <w:numPr>
          <w:ilvl w:val="3"/>
          <w:numId w:val="22"/>
        </w:numPr>
        <w:pBdr>
          <w:top w:space="0" w:sz="0" w:val="nil"/>
          <w:left w:space="0" w:sz="0" w:val="nil"/>
          <w:bottom w:space="0" w:sz="0" w:val="nil"/>
          <w:right w:space="0" w:sz="0" w:val="nil"/>
          <w:between w:space="0" w:sz="0" w:val="nil"/>
        </w:pBdr>
        <w:ind w:left="708" w:hanging="141"/>
        <w:rPr/>
      </w:pPr>
      <w:bookmarkStart w:colFirst="0" w:colLast="0" w:name="_heading=h.1v1yuxt" w:id="41"/>
      <w:bookmarkEnd w:id="41"/>
      <w:r w:rsidDel="00000000" w:rsidR="00000000" w:rsidRPr="00000000">
        <w:rPr>
          <w:rtl w:val="0"/>
        </w:rPr>
        <w:t xml:space="preserve">Wersjonowanie danych</w:t>
      </w:r>
    </w:p>
    <w:p w:rsidR="00000000" w:rsidDel="00000000" w:rsidP="00000000" w:rsidRDefault="00000000" w:rsidRPr="00000000" w14:paraId="00000206">
      <w:pPr>
        <w:numPr>
          <w:ilvl w:val="0"/>
          <w:numId w:val="1"/>
        </w:numPr>
        <w:pBdr>
          <w:top w:space="0" w:sz="0" w:val="nil"/>
          <w:left w:space="0" w:sz="0" w:val="nil"/>
          <w:bottom w:space="0" w:sz="0" w:val="nil"/>
          <w:right w:space="0" w:sz="0" w:val="nil"/>
          <w:between w:space="0" w:sz="0" w:val="nil"/>
        </w:pBdr>
        <w:ind w:left="714" w:hanging="35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Przechowywanie wersji:</w:t>
      </w:r>
      <w:r w:rsidDel="00000000" w:rsidR="00000000" w:rsidRPr="00000000">
        <w:rPr>
          <w:rFonts w:ascii="Times New Roman" w:cs="Times New Roman" w:eastAsia="Times New Roman" w:hAnsi="Times New Roman"/>
          <w:sz w:val="24"/>
          <w:szCs w:val="24"/>
          <w:rtl w:val="0"/>
        </w:rPr>
        <w:t xml:space="preserve"> W narzędziu będą przechowywane wersje rekordów danych, co oznacza, że każda zmiana w rekordzie będzie tworzyć nową wersję tego rekordu.</w:t>
      </w:r>
    </w:p>
    <w:p w:rsidR="00000000" w:rsidDel="00000000" w:rsidP="00000000" w:rsidRDefault="00000000" w:rsidRPr="00000000" w14:paraId="00000207">
      <w:pPr>
        <w:numPr>
          <w:ilvl w:val="0"/>
          <w:numId w:val="1"/>
        </w:numPr>
        <w:pBdr>
          <w:top w:space="0" w:sz="0" w:val="nil"/>
          <w:left w:space="0" w:sz="0" w:val="nil"/>
          <w:bottom w:space="0" w:sz="0" w:val="nil"/>
          <w:right w:space="0" w:sz="0" w:val="nil"/>
          <w:between w:space="0" w:sz="0" w:val="nil"/>
        </w:pBdr>
        <w:ind w:left="714" w:hanging="35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Porównywanie wersji: </w:t>
      </w:r>
      <w:r w:rsidDel="00000000" w:rsidR="00000000" w:rsidRPr="00000000">
        <w:rPr>
          <w:rFonts w:ascii="Times New Roman" w:cs="Times New Roman" w:eastAsia="Times New Roman" w:hAnsi="Times New Roman"/>
          <w:sz w:val="24"/>
          <w:szCs w:val="24"/>
          <w:rtl w:val="0"/>
        </w:rPr>
        <w:t xml:space="preserve">Użytkownicy będą mogli porównywać różne wersje rekordu, aby zobaczyć, jakie zmiany zostały wprowadzone na przestrzeni czasu.</w:t>
      </w:r>
    </w:p>
    <w:p w:rsidR="00000000" w:rsidDel="00000000" w:rsidP="00000000" w:rsidRDefault="00000000" w:rsidRPr="00000000" w14:paraId="00000208">
      <w:pPr>
        <w:numPr>
          <w:ilvl w:val="0"/>
          <w:numId w:val="1"/>
        </w:numPr>
        <w:pBdr>
          <w:top w:space="0" w:sz="0" w:val="nil"/>
          <w:left w:space="0" w:sz="0" w:val="nil"/>
          <w:bottom w:space="0" w:sz="0" w:val="nil"/>
          <w:right w:space="0" w:sz="0" w:val="nil"/>
          <w:between w:space="0" w:sz="0" w:val="nil"/>
        </w:pBdr>
        <w:spacing w:after="200" w:lineRule="auto"/>
        <w:ind w:left="714" w:hanging="35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Przywracanie wersji: </w:t>
      </w:r>
      <w:r w:rsidDel="00000000" w:rsidR="00000000" w:rsidRPr="00000000">
        <w:rPr>
          <w:rFonts w:ascii="Times New Roman" w:cs="Times New Roman" w:eastAsia="Times New Roman" w:hAnsi="Times New Roman"/>
          <w:sz w:val="24"/>
          <w:szCs w:val="24"/>
          <w:rtl w:val="0"/>
        </w:rPr>
        <w:t xml:space="preserve">W narzędziu zostanie zapewniona możliwość przywracania wcześniejszych wersji rekordu, co pozwoli na cofnięcie zmian w przypadku błędnej edycji lub potrzeby powrotu do wcześniejszego stanu danych.</w:t>
      </w:r>
    </w:p>
    <w:p w:rsidR="00000000" w:rsidDel="00000000" w:rsidP="00000000" w:rsidRDefault="00000000" w:rsidRPr="00000000" w14:paraId="00000209">
      <w:pPr>
        <w:pStyle w:val="Heading4"/>
        <w:numPr>
          <w:ilvl w:val="3"/>
          <w:numId w:val="22"/>
        </w:numPr>
        <w:pBdr>
          <w:top w:space="0" w:sz="0" w:val="nil"/>
          <w:left w:space="0" w:sz="0" w:val="nil"/>
          <w:bottom w:space="0" w:sz="0" w:val="nil"/>
          <w:right w:space="0" w:sz="0" w:val="nil"/>
          <w:between w:space="0" w:sz="0" w:val="nil"/>
        </w:pBdr>
        <w:ind w:left="708" w:hanging="141"/>
        <w:rPr/>
      </w:pPr>
      <w:bookmarkStart w:colFirst="0" w:colLast="0" w:name="_heading=h.4f1mdlm" w:id="42"/>
      <w:bookmarkEnd w:id="42"/>
      <w:r w:rsidDel="00000000" w:rsidR="00000000" w:rsidRPr="00000000">
        <w:rPr>
          <w:rtl w:val="0"/>
        </w:rPr>
        <w:t xml:space="preserve">Audyt zmian</w:t>
      </w:r>
    </w:p>
    <w:p w:rsidR="00000000" w:rsidDel="00000000" w:rsidP="00000000" w:rsidRDefault="00000000" w:rsidRPr="00000000" w14:paraId="0000020A">
      <w:pPr>
        <w:numPr>
          <w:ilvl w:val="0"/>
          <w:numId w:val="1"/>
        </w:numPr>
        <w:pBdr>
          <w:top w:space="0" w:sz="0" w:val="nil"/>
          <w:left w:space="0" w:sz="0" w:val="nil"/>
          <w:bottom w:space="0" w:sz="0" w:val="nil"/>
          <w:right w:space="0" w:sz="0" w:val="nil"/>
          <w:between w:space="0" w:sz="0" w:val="nil"/>
        </w:pBdr>
        <w:ind w:left="714" w:hanging="35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Raporty audytowe: </w:t>
      </w:r>
      <w:r w:rsidDel="00000000" w:rsidR="00000000" w:rsidRPr="00000000">
        <w:rPr>
          <w:rFonts w:ascii="Times New Roman" w:cs="Times New Roman" w:eastAsia="Times New Roman" w:hAnsi="Times New Roman"/>
          <w:sz w:val="24"/>
          <w:szCs w:val="24"/>
          <w:rtl w:val="0"/>
        </w:rPr>
        <w:t xml:space="preserve">W narzędziu będzie możliwość generowania raportów audytowych, które będą zawierać szczegółowe informacje na temat operacji wykonywanych na danych. Raporty te będą dostępne dla administratorów i mogą być eksportowane do różnych formatów (PDF, Excel, csv).</w:t>
      </w:r>
    </w:p>
    <w:p w:rsidR="00000000" w:rsidDel="00000000" w:rsidP="00000000" w:rsidRDefault="00000000" w:rsidRPr="00000000" w14:paraId="0000020B">
      <w:pPr>
        <w:numPr>
          <w:ilvl w:val="0"/>
          <w:numId w:val="1"/>
        </w:numPr>
        <w:pBdr>
          <w:top w:space="0" w:sz="0" w:val="nil"/>
          <w:left w:space="0" w:sz="0" w:val="nil"/>
          <w:bottom w:space="0" w:sz="0" w:val="nil"/>
          <w:right w:space="0" w:sz="0" w:val="nil"/>
          <w:between w:space="0" w:sz="0" w:val="nil"/>
        </w:pBdr>
        <w:ind w:left="714" w:hanging="35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Powiadomienia o krytycznych zmianach: </w:t>
      </w:r>
      <w:r w:rsidDel="00000000" w:rsidR="00000000" w:rsidRPr="00000000">
        <w:rPr>
          <w:rFonts w:ascii="Times New Roman" w:cs="Times New Roman" w:eastAsia="Times New Roman" w:hAnsi="Times New Roman"/>
          <w:sz w:val="24"/>
          <w:szCs w:val="24"/>
          <w:rtl w:val="0"/>
        </w:rPr>
        <w:t xml:space="preserve">W przypadku krytycznych zmian w danych (np. usuwanie dużej liczby rekordów), będą wysyłane powiadomienia e-mail do administratorów, aby zapewnić szybkie reagowanie na potencjalne problemy.</w:t>
      </w:r>
    </w:p>
    <w:p w:rsidR="00000000" w:rsidDel="00000000" w:rsidP="00000000" w:rsidRDefault="00000000" w:rsidRPr="00000000" w14:paraId="0000020C">
      <w:pPr>
        <w:pStyle w:val="Heading3"/>
        <w:numPr>
          <w:ilvl w:val="2"/>
          <w:numId w:val="22"/>
        </w:numPr>
        <w:ind w:left="566" w:hanging="141"/>
        <w:rPr/>
      </w:pPr>
      <w:bookmarkStart w:colFirst="0" w:colLast="0" w:name="_heading=h.2u6wntf" w:id="43"/>
      <w:bookmarkEnd w:id="43"/>
      <w:r w:rsidDel="00000000" w:rsidR="00000000" w:rsidRPr="00000000">
        <w:rPr>
          <w:rtl w:val="0"/>
        </w:rPr>
        <w:t xml:space="preserve">Generowanie raportów</w:t>
      </w:r>
    </w:p>
    <w:p w:rsidR="00000000" w:rsidDel="00000000" w:rsidP="00000000" w:rsidRDefault="00000000" w:rsidRPr="00000000" w14:paraId="0000020D">
      <w:pPr>
        <w:pStyle w:val="Heading4"/>
        <w:numPr>
          <w:ilvl w:val="3"/>
          <w:numId w:val="22"/>
        </w:numPr>
        <w:pBdr>
          <w:top w:space="0" w:sz="0" w:val="nil"/>
          <w:left w:space="0" w:sz="0" w:val="nil"/>
          <w:bottom w:space="0" w:sz="0" w:val="nil"/>
          <w:right w:space="0" w:sz="0" w:val="nil"/>
          <w:between w:space="0" w:sz="0" w:val="nil"/>
        </w:pBdr>
        <w:ind w:left="708" w:hanging="141"/>
        <w:rPr/>
      </w:pPr>
      <w:bookmarkStart w:colFirst="0" w:colLast="0" w:name="_heading=h.19c6y18" w:id="44"/>
      <w:bookmarkEnd w:id="44"/>
      <w:r w:rsidDel="00000000" w:rsidR="00000000" w:rsidRPr="00000000">
        <w:rPr>
          <w:rtl w:val="0"/>
        </w:rPr>
        <w:t xml:space="preserve">Tworzenie interaktywnych raportów</w:t>
      </w:r>
    </w:p>
    <w:p w:rsidR="00000000" w:rsidDel="00000000" w:rsidP="00000000" w:rsidRDefault="00000000" w:rsidRPr="00000000" w14:paraId="0000020E">
      <w:pPr>
        <w:numPr>
          <w:ilvl w:val="0"/>
          <w:numId w:val="1"/>
        </w:numPr>
        <w:pBdr>
          <w:top w:space="0" w:sz="0" w:val="nil"/>
          <w:left w:space="0" w:sz="0" w:val="nil"/>
          <w:bottom w:space="0" w:sz="0" w:val="nil"/>
          <w:right w:space="0" w:sz="0" w:val="nil"/>
          <w:between w:space="0" w:sz="0" w:val="nil"/>
        </w:pBdr>
        <w:ind w:left="714" w:hanging="35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Interfejs raportowania: </w:t>
      </w:r>
      <w:r w:rsidDel="00000000" w:rsidR="00000000" w:rsidRPr="00000000">
        <w:rPr>
          <w:rFonts w:ascii="Times New Roman" w:cs="Times New Roman" w:eastAsia="Times New Roman" w:hAnsi="Times New Roman"/>
          <w:sz w:val="24"/>
          <w:szCs w:val="24"/>
          <w:rtl w:val="0"/>
        </w:rPr>
        <w:t xml:space="preserve">Narzędzie będzie posiadało intuicyjny interfejs do tworzenia raportów na podstawie danych zgromadzonych w bazie danych narzędzia lub w zewnętrznych źródeł danych, umożliwiający użytkownikom wybór danych, które chcą uwzględnić w raporcie.</w:t>
      </w:r>
    </w:p>
    <w:p w:rsidR="00000000" w:rsidDel="00000000" w:rsidP="00000000" w:rsidRDefault="00000000" w:rsidRPr="00000000" w14:paraId="0000020F">
      <w:pPr>
        <w:numPr>
          <w:ilvl w:val="0"/>
          <w:numId w:val="1"/>
        </w:numPr>
        <w:pBdr>
          <w:top w:space="0" w:sz="0" w:val="nil"/>
          <w:left w:space="0" w:sz="0" w:val="nil"/>
          <w:bottom w:space="0" w:sz="0" w:val="nil"/>
          <w:right w:space="0" w:sz="0" w:val="nil"/>
          <w:between w:space="0" w:sz="0" w:val="nil"/>
        </w:pBdr>
        <w:ind w:left="714" w:hanging="35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Szablony raportów: </w:t>
      </w:r>
      <w:r w:rsidDel="00000000" w:rsidR="00000000" w:rsidRPr="00000000">
        <w:rPr>
          <w:rFonts w:ascii="Times New Roman" w:cs="Times New Roman" w:eastAsia="Times New Roman" w:hAnsi="Times New Roman"/>
          <w:sz w:val="24"/>
          <w:szCs w:val="24"/>
          <w:rtl w:val="0"/>
        </w:rPr>
        <w:t xml:space="preserve">W narzędziu zostaną stworzone gotowe szablony raportów (predefiniowane raporty), które umożliwią użytkownikom uzyskanie konkretnego zestawienia danych, bez konieczności wykonywania dodatkowych operacji. W szczególności predefiniowane szablony raportów będą pozwalały na wygenerowanie tabel wchodzących w zakres Zintegrowanej Tabeli Monitorującej. Zamawiający zakłada, że w toku prac nad narzędziem zostaną wypracowane dodatkowe szablony raportów, obrazujące procesy włączania kwalifikacji do ZSK, uzyskiwania uprawnień do certyfikowania poszczególnych kwalifikacji przez kolejne instytucje certyfikujące i zawierania umów z podmiotami zewnętrznego zapewniania jakości wobec tych IC dla danej kwalifikacji </w:t>
      </w:r>
    </w:p>
    <w:p w:rsidR="00000000" w:rsidDel="00000000" w:rsidP="00000000" w:rsidRDefault="00000000" w:rsidRPr="00000000" w14:paraId="00000210">
      <w:pPr>
        <w:pBdr>
          <w:top w:space="0" w:sz="0" w:val="nil"/>
          <w:left w:space="0" w:sz="0" w:val="nil"/>
          <w:bottom w:space="0" w:sz="0" w:val="nil"/>
          <w:right w:space="0" w:sz="0" w:val="nil"/>
          <w:between w:space="0" w:sz="0" w:val="nil"/>
        </w:pBdr>
        <w:ind w:left="708"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Przykładowe raporty, które mogą stanowić podstawę do opracowania dodatkowych szablonów raportów:</w:t>
      </w:r>
    </w:p>
    <w:p w:rsidR="00000000" w:rsidDel="00000000" w:rsidP="00000000" w:rsidRDefault="00000000" w:rsidRPr="00000000" w14:paraId="00000211">
      <w:pPr>
        <w:numPr>
          <w:ilvl w:val="0"/>
          <w:numId w:val="20"/>
        </w:numPr>
        <w:pBdr>
          <w:top w:space="0" w:sz="0" w:val="nil"/>
          <w:left w:space="0" w:sz="0" w:val="nil"/>
          <w:bottom w:space="0" w:sz="0" w:val="nil"/>
          <w:right w:space="0" w:sz="0" w:val="nil"/>
          <w:between w:space="0" w:sz="0" w:val="nil"/>
        </w:pBdr>
        <w:ind w:left="1133" w:hanging="42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Sprawozdanie półroczne dot. monitoringu ZSK, obejmujące m.in. zestawienia danych dotyczących: </w:t>
      </w:r>
    </w:p>
    <w:p w:rsidR="00000000" w:rsidDel="00000000" w:rsidP="00000000" w:rsidRDefault="00000000" w:rsidRPr="00000000" w14:paraId="00000212">
      <w:pPr>
        <w:numPr>
          <w:ilvl w:val="0"/>
          <w:numId w:val="1"/>
        </w:numPr>
        <w:pBdr>
          <w:top w:space="0" w:sz="0" w:val="nil"/>
          <w:left w:space="0" w:sz="0" w:val="nil"/>
          <w:bottom w:space="0" w:sz="0" w:val="nil"/>
          <w:right w:space="0" w:sz="0" w:val="nil"/>
          <w:between w:space="0" w:sz="0" w:val="nil"/>
        </w:pBdr>
        <w:ind w:left="1417" w:hanging="283"/>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liczby kwalifikacji wolnorynkowych włączonych do ZSK,</w:t>
      </w:r>
    </w:p>
    <w:p w:rsidR="00000000" w:rsidDel="00000000" w:rsidP="00000000" w:rsidRDefault="00000000" w:rsidRPr="00000000" w14:paraId="00000213">
      <w:pPr>
        <w:numPr>
          <w:ilvl w:val="0"/>
          <w:numId w:val="1"/>
        </w:numPr>
        <w:pBdr>
          <w:top w:space="0" w:sz="0" w:val="nil"/>
          <w:left w:space="0" w:sz="0" w:val="nil"/>
          <w:bottom w:space="0" w:sz="0" w:val="nil"/>
          <w:right w:space="0" w:sz="0" w:val="nil"/>
          <w:between w:space="0" w:sz="0" w:val="nil"/>
        </w:pBdr>
        <w:ind w:left="1417" w:hanging="283"/>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łącznej liczby kwalifikacji wolnorynkowych włączonych do ZSK w danym okresie,</w:t>
      </w:r>
    </w:p>
    <w:p w:rsidR="00000000" w:rsidDel="00000000" w:rsidP="00000000" w:rsidRDefault="00000000" w:rsidRPr="00000000" w14:paraId="00000214">
      <w:pPr>
        <w:numPr>
          <w:ilvl w:val="0"/>
          <w:numId w:val="1"/>
        </w:numPr>
        <w:pBdr>
          <w:top w:space="0" w:sz="0" w:val="nil"/>
          <w:left w:space="0" w:sz="0" w:val="nil"/>
          <w:bottom w:space="0" w:sz="0" w:val="nil"/>
          <w:right w:space="0" w:sz="0" w:val="nil"/>
          <w:between w:space="0" w:sz="0" w:val="nil"/>
        </w:pBdr>
        <w:ind w:left="1417" w:hanging="283"/>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liczby kwalifikacji funkcjonujących w ZSK w danym okresie z podziałem na kwalifikacje funkcjonujące, dla których nadano uprawnienia do certyfikowania co najmniej jednej IC oraz kwalifikacje funkcjonujące na podstawie umowy podpisanej pomiędzy MW a PZZJ,</w:t>
      </w:r>
    </w:p>
    <w:p w:rsidR="00000000" w:rsidDel="00000000" w:rsidP="00000000" w:rsidRDefault="00000000" w:rsidRPr="00000000" w14:paraId="00000215">
      <w:pPr>
        <w:numPr>
          <w:ilvl w:val="0"/>
          <w:numId w:val="1"/>
        </w:numPr>
        <w:pBdr>
          <w:top w:space="0" w:sz="0" w:val="nil"/>
          <w:left w:space="0" w:sz="0" w:val="nil"/>
          <w:bottom w:space="0" w:sz="0" w:val="nil"/>
          <w:right w:space="0" w:sz="0" w:val="nil"/>
          <w:between w:space="0" w:sz="0" w:val="nil"/>
        </w:pBdr>
        <w:ind w:left="1417" w:hanging="283"/>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liczby rozpatrywanych wniosków,</w:t>
      </w:r>
    </w:p>
    <w:p w:rsidR="00000000" w:rsidDel="00000000" w:rsidP="00000000" w:rsidRDefault="00000000" w:rsidRPr="00000000" w14:paraId="00000216">
      <w:pPr>
        <w:numPr>
          <w:ilvl w:val="0"/>
          <w:numId w:val="1"/>
        </w:numPr>
        <w:pBdr>
          <w:top w:space="0" w:sz="0" w:val="nil"/>
          <w:left w:space="0" w:sz="0" w:val="nil"/>
          <w:bottom w:space="0" w:sz="0" w:val="nil"/>
          <w:right w:space="0" w:sz="0" w:val="nil"/>
          <w:between w:space="0" w:sz="0" w:val="nil"/>
        </w:pBdr>
        <w:ind w:left="1417" w:hanging="283"/>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liczby wniosków o włączenie kwalifikacji wolnorynkowych i sektorowych do ZSK w danym okresie,</w:t>
      </w:r>
    </w:p>
    <w:p w:rsidR="00000000" w:rsidDel="00000000" w:rsidP="00000000" w:rsidRDefault="00000000" w:rsidRPr="00000000" w14:paraId="00000217">
      <w:pPr>
        <w:numPr>
          <w:ilvl w:val="0"/>
          <w:numId w:val="1"/>
        </w:numPr>
        <w:pBdr>
          <w:top w:space="0" w:sz="0" w:val="nil"/>
          <w:left w:space="0" w:sz="0" w:val="nil"/>
          <w:bottom w:space="0" w:sz="0" w:val="nil"/>
          <w:right w:space="0" w:sz="0" w:val="nil"/>
          <w:between w:space="0" w:sz="0" w:val="nil"/>
        </w:pBdr>
        <w:ind w:left="1417" w:hanging="283"/>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liczby kwalifikacji dotychczasowych rynkowych przekształconych w sektorowe w danym okresie,</w:t>
      </w:r>
    </w:p>
    <w:p w:rsidR="00000000" w:rsidDel="00000000" w:rsidP="00000000" w:rsidRDefault="00000000" w:rsidRPr="00000000" w14:paraId="00000218">
      <w:pPr>
        <w:numPr>
          <w:ilvl w:val="0"/>
          <w:numId w:val="1"/>
        </w:numPr>
        <w:pBdr>
          <w:top w:space="0" w:sz="0" w:val="nil"/>
          <w:left w:space="0" w:sz="0" w:val="nil"/>
          <w:bottom w:space="0" w:sz="0" w:val="nil"/>
          <w:right w:space="0" w:sz="0" w:val="nil"/>
          <w:between w:space="0" w:sz="0" w:val="nil"/>
        </w:pBdr>
        <w:ind w:left="1417" w:hanging="283"/>
        <w:jc w:val="both"/>
        <w:rPr>
          <w:rFonts w:ascii="Times New Roman" w:cs="Times New Roman" w:eastAsia="Times New Roman" w:hAnsi="Times New Roman"/>
          <w:sz w:val="24"/>
          <w:szCs w:val="24"/>
        </w:rPr>
      </w:pPr>
      <w:bookmarkStart w:colFirst="0" w:colLast="0" w:name="_heading=h.3tbugp1" w:id="45"/>
      <w:bookmarkEnd w:id="45"/>
      <w:r w:rsidDel="00000000" w:rsidR="00000000" w:rsidRPr="00000000">
        <w:rPr>
          <w:rFonts w:ascii="Times New Roman" w:cs="Times New Roman" w:eastAsia="Times New Roman" w:hAnsi="Times New Roman"/>
          <w:sz w:val="24"/>
          <w:szCs w:val="24"/>
          <w:rtl w:val="0"/>
        </w:rPr>
        <w:t xml:space="preserve">średniego czasu rozpatrywania wniosków w podziale na ministerstwa i np. poszczególne etapy procedowania.</w:t>
      </w:r>
    </w:p>
    <w:p w:rsidR="00000000" w:rsidDel="00000000" w:rsidP="00000000" w:rsidRDefault="00000000" w:rsidRPr="00000000" w14:paraId="00000219">
      <w:pPr>
        <w:numPr>
          <w:ilvl w:val="0"/>
          <w:numId w:val="1"/>
        </w:numPr>
        <w:pBdr>
          <w:top w:space="0" w:sz="0" w:val="nil"/>
          <w:left w:space="0" w:sz="0" w:val="nil"/>
          <w:bottom w:space="0" w:sz="0" w:val="nil"/>
          <w:right w:space="0" w:sz="0" w:val="nil"/>
          <w:between w:space="0" w:sz="0" w:val="nil"/>
        </w:pBdr>
        <w:ind w:left="1417" w:hanging="283"/>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liczby kwalifikacji wolnorynkowych włączonych i oczekujących na nadanie uprawnień do certyfikowania z podziałem na ministerstwa,</w:t>
      </w:r>
    </w:p>
    <w:p w:rsidR="00000000" w:rsidDel="00000000" w:rsidP="00000000" w:rsidRDefault="00000000" w:rsidRPr="00000000" w14:paraId="0000021A">
      <w:pPr>
        <w:numPr>
          <w:ilvl w:val="0"/>
          <w:numId w:val="1"/>
        </w:numPr>
        <w:pBdr>
          <w:top w:space="0" w:sz="0" w:val="nil"/>
          <w:left w:space="0" w:sz="0" w:val="nil"/>
          <w:bottom w:space="0" w:sz="0" w:val="nil"/>
          <w:right w:space="0" w:sz="0" w:val="nil"/>
          <w:between w:space="0" w:sz="0" w:val="nil"/>
        </w:pBdr>
        <w:ind w:left="1417" w:hanging="283"/>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liczby kwalifikacji sektorowe włączone i oczekujących na nadanie uprawnień do certyfikowania z podziałem na ministerstwa,</w:t>
      </w:r>
    </w:p>
    <w:p w:rsidR="00000000" w:rsidDel="00000000" w:rsidP="00000000" w:rsidRDefault="00000000" w:rsidRPr="00000000" w14:paraId="0000021B">
      <w:pPr>
        <w:numPr>
          <w:ilvl w:val="0"/>
          <w:numId w:val="1"/>
        </w:numPr>
        <w:pBdr>
          <w:top w:space="0" w:sz="0" w:val="nil"/>
          <w:left w:space="0" w:sz="0" w:val="nil"/>
          <w:bottom w:space="0" w:sz="0" w:val="nil"/>
          <w:right w:space="0" w:sz="0" w:val="nil"/>
          <w:between w:space="0" w:sz="0" w:val="nil"/>
        </w:pBdr>
        <w:ind w:left="1417" w:hanging="283"/>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liczby kwalifikacji wolnorynkowych i sektorowych funkcjonujących w ZSK,</w:t>
      </w:r>
    </w:p>
    <w:p w:rsidR="00000000" w:rsidDel="00000000" w:rsidP="00000000" w:rsidRDefault="00000000" w:rsidRPr="00000000" w14:paraId="0000021C">
      <w:pPr>
        <w:numPr>
          <w:ilvl w:val="0"/>
          <w:numId w:val="1"/>
        </w:numPr>
        <w:pBdr>
          <w:top w:space="0" w:sz="0" w:val="nil"/>
          <w:left w:space="0" w:sz="0" w:val="nil"/>
          <w:bottom w:space="0" w:sz="0" w:val="nil"/>
          <w:right w:space="0" w:sz="0" w:val="nil"/>
          <w:between w:space="0" w:sz="0" w:val="nil"/>
        </w:pBdr>
        <w:ind w:left="1417" w:hanging="283"/>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instytucji certyfikujących, które wydały certyfikaty dla swoich kwalifikacji z podziałem na: działy administracji, ministerstwa, które są właściwe dla danej kwalifikacji, kategorię kwalifikacji itp.</w:t>
      </w:r>
    </w:p>
    <w:p w:rsidR="00000000" w:rsidDel="00000000" w:rsidP="00000000" w:rsidRDefault="00000000" w:rsidRPr="00000000" w14:paraId="0000021D">
      <w:pPr>
        <w:numPr>
          <w:ilvl w:val="0"/>
          <w:numId w:val="20"/>
        </w:numPr>
        <w:pBdr>
          <w:top w:space="0" w:sz="0" w:val="nil"/>
          <w:left w:space="0" w:sz="0" w:val="nil"/>
          <w:bottom w:space="0" w:sz="0" w:val="nil"/>
          <w:right w:space="0" w:sz="0" w:val="nil"/>
          <w:between w:space="0" w:sz="0" w:val="nil"/>
        </w:pBdr>
        <w:ind w:left="1133" w:hanging="42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Liczba kwalifikacji opisanych w ramach poszczególnych projektów w podziale na poszczególne etapy rozpatrywania wniosków, według stanu na dzień sporządzania raportu</w:t>
      </w:r>
    </w:p>
    <w:p w:rsidR="00000000" w:rsidDel="00000000" w:rsidP="00000000" w:rsidRDefault="00000000" w:rsidRPr="00000000" w14:paraId="0000021E">
      <w:pPr>
        <w:numPr>
          <w:ilvl w:val="0"/>
          <w:numId w:val="20"/>
        </w:numPr>
        <w:pBdr>
          <w:top w:space="0" w:sz="0" w:val="nil"/>
          <w:left w:space="0" w:sz="0" w:val="nil"/>
          <w:bottom w:space="0" w:sz="0" w:val="nil"/>
          <w:right w:space="0" w:sz="0" w:val="nil"/>
          <w:between w:space="0" w:sz="0" w:val="nil"/>
        </w:pBdr>
        <w:ind w:left="1133" w:hanging="42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Analiza porównawcza ww. raportów.</w:t>
      </w:r>
    </w:p>
    <w:p w:rsidR="00000000" w:rsidDel="00000000" w:rsidP="00000000" w:rsidRDefault="00000000" w:rsidRPr="00000000" w14:paraId="0000021F">
      <w:pPr>
        <w:numPr>
          <w:ilvl w:val="0"/>
          <w:numId w:val="1"/>
        </w:numPr>
        <w:pBdr>
          <w:top w:space="0" w:sz="0" w:val="nil"/>
          <w:left w:space="0" w:sz="0" w:val="nil"/>
          <w:bottom w:space="0" w:sz="0" w:val="nil"/>
          <w:right w:space="0" w:sz="0" w:val="nil"/>
          <w:between w:space="0" w:sz="0" w:val="nil"/>
        </w:pBdr>
        <w:spacing w:after="200" w:lineRule="auto"/>
        <w:ind w:left="714" w:hanging="357"/>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Kreator raportów: </w:t>
      </w:r>
      <w:r w:rsidDel="00000000" w:rsidR="00000000" w:rsidRPr="00000000">
        <w:rPr>
          <w:rFonts w:ascii="Times New Roman" w:cs="Times New Roman" w:eastAsia="Times New Roman" w:hAnsi="Times New Roman"/>
          <w:sz w:val="24"/>
          <w:szCs w:val="24"/>
          <w:rtl w:val="0"/>
        </w:rPr>
        <w:t xml:space="preserve">W toku użytkowania obecnej Tabeli Monitorującej Zamawiający zidentyfikował również potrzebę generowania zestawień danych w odpowiedzi na doraźne oczekiwania koordynatora ZSK bądź innych ministrów. W związku z tym w narzędziu musi zostać zaimplementowany kreator raportów, który umożliwi generowanie tego typu raportów ad-hoc (nie przewidzianych w szablonach). </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Kreator raportów poprowadzi użytkowników krok po kroku przez proces tworzenia raportu, umożliwiając wybór kolumn, filtrów, sortowania i grupowania danych. Szczególnym rozwiązaniem w kreatorze raportów może być tworzenie nowych zestawień danych poprzez modyfikację przez użytkownika przygotowanych przez Wykonawcę szablonów raportów. Zamawiający zastrzega jednak, że zastosowanie wyłącznie takiego rozwiązania może być niewystarczające ze względu na niestandardowe potrzeby zgłaszane przez kierownictwo Zamawiającego. </w:t>
      </w:r>
      <w:r w:rsidDel="00000000" w:rsidR="00000000" w:rsidRPr="00000000">
        <w:rPr>
          <w:rtl w:val="0"/>
        </w:rPr>
      </w:r>
    </w:p>
    <w:p w:rsidR="00000000" w:rsidDel="00000000" w:rsidP="00000000" w:rsidRDefault="00000000" w:rsidRPr="00000000" w14:paraId="00000220">
      <w:pPr>
        <w:pStyle w:val="Heading4"/>
        <w:numPr>
          <w:ilvl w:val="3"/>
          <w:numId w:val="22"/>
        </w:numPr>
        <w:pBdr>
          <w:top w:space="0" w:sz="0" w:val="nil"/>
          <w:left w:space="0" w:sz="0" w:val="nil"/>
          <w:bottom w:space="0" w:sz="0" w:val="nil"/>
          <w:right w:space="0" w:sz="0" w:val="nil"/>
          <w:between w:space="0" w:sz="0" w:val="nil"/>
        </w:pBdr>
        <w:ind w:left="708" w:hanging="141"/>
        <w:rPr/>
      </w:pPr>
      <w:bookmarkStart w:colFirst="0" w:colLast="0" w:name="_heading=h.28h4qwu" w:id="46"/>
      <w:bookmarkEnd w:id="46"/>
      <w:r w:rsidDel="00000000" w:rsidR="00000000" w:rsidRPr="00000000">
        <w:rPr>
          <w:rtl w:val="0"/>
        </w:rPr>
        <w:t xml:space="preserve">Operacje na danych w raportach</w:t>
      </w:r>
    </w:p>
    <w:p w:rsidR="00000000" w:rsidDel="00000000" w:rsidP="00000000" w:rsidRDefault="00000000" w:rsidRPr="00000000" w14:paraId="00000221">
      <w:pPr>
        <w:numPr>
          <w:ilvl w:val="0"/>
          <w:numId w:val="1"/>
        </w:numPr>
        <w:pBdr>
          <w:top w:space="0" w:sz="0" w:val="nil"/>
          <w:left w:space="0" w:sz="0" w:val="nil"/>
          <w:bottom w:space="0" w:sz="0" w:val="nil"/>
          <w:right w:space="0" w:sz="0" w:val="nil"/>
          <w:between w:space="0" w:sz="0" w:val="nil"/>
        </w:pBdr>
        <w:ind w:left="714" w:hanging="35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Filtrowanie: </w:t>
      </w:r>
      <w:r w:rsidDel="00000000" w:rsidR="00000000" w:rsidRPr="00000000">
        <w:rPr>
          <w:rFonts w:ascii="Times New Roman" w:cs="Times New Roman" w:eastAsia="Times New Roman" w:hAnsi="Times New Roman"/>
          <w:sz w:val="24"/>
          <w:szCs w:val="24"/>
          <w:rtl w:val="0"/>
        </w:rPr>
        <w:t xml:space="preserve">Użytkownicy będą mogli zastosować różne filtry do danych w raportach, aby wyświetlić tylko te informacje, które są dla nich istotne. Filtry mogą obejmować zakresy dat, konkretne wartości w kolumnach, itp.</w:t>
      </w:r>
    </w:p>
    <w:p w:rsidR="00000000" w:rsidDel="00000000" w:rsidP="00000000" w:rsidRDefault="00000000" w:rsidRPr="00000000" w14:paraId="00000222">
      <w:pPr>
        <w:numPr>
          <w:ilvl w:val="0"/>
          <w:numId w:val="1"/>
        </w:numPr>
        <w:pBdr>
          <w:top w:space="0" w:sz="0" w:val="nil"/>
          <w:left w:space="0" w:sz="0" w:val="nil"/>
          <w:bottom w:space="0" w:sz="0" w:val="nil"/>
          <w:right w:space="0" w:sz="0" w:val="nil"/>
          <w:between w:space="0" w:sz="0" w:val="nil"/>
        </w:pBdr>
        <w:ind w:left="714" w:hanging="35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Sortowanie: </w:t>
      </w:r>
      <w:r w:rsidDel="00000000" w:rsidR="00000000" w:rsidRPr="00000000">
        <w:rPr>
          <w:rFonts w:ascii="Times New Roman" w:cs="Times New Roman" w:eastAsia="Times New Roman" w:hAnsi="Times New Roman"/>
          <w:sz w:val="24"/>
          <w:szCs w:val="24"/>
          <w:rtl w:val="0"/>
        </w:rPr>
        <w:t xml:space="preserve">Dane w raportach będą mogły być sortowane według wybranych kolumn w porządku rosnącym lub malejącym. Dane będą mogły być sortowane po wielu kolumnach jednocześnie.</w:t>
      </w:r>
    </w:p>
    <w:p w:rsidR="00000000" w:rsidDel="00000000" w:rsidP="00000000" w:rsidRDefault="00000000" w:rsidRPr="00000000" w14:paraId="00000223">
      <w:pPr>
        <w:numPr>
          <w:ilvl w:val="0"/>
          <w:numId w:val="1"/>
        </w:numPr>
        <w:pBdr>
          <w:top w:space="0" w:sz="0" w:val="nil"/>
          <w:left w:space="0" w:sz="0" w:val="nil"/>
          <w:bottom w:space="0" w:sz="0" w:val="nil"/>
          <w:right w:space="0" w:sz="0" w:val="nil"/>
          <w:between w:space="0" w:sz="0" w:val="nil"/>
        </w:pBdr>
        <w:ind w:left="714" w:hanging="357"/>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Grupowanie: </w:t>
      </w:r>
      <w:r w:rsidDel="00000000" w:rsidR="00000000" w:rsidRPr="00000000">
        <w:rPr>
          <w:rFonts w:ascii="Times New Roman" w:cs="Times New Roman" w:eastAsia="Times New Roman" w:hAnsi="Times New Roman"/>
          <w:sz w:val="24"/>
          <w:szCs w:val="24"/>
          <w:rtl w:val="0"/>
        </w:rPr>
        <w:t xml:space="preserve">Narzędzie umożliwi grupowanie danych według wybranych kryteriów, co pozwoli na lepszą organizację i analizę dużych zbiorów danych.</w:t>
      </w:r>
      <w:r w:rsidDel="00000000" w:rsidR="00000000" w:rsidRPr="00000000">
        <w:rPr>
          <w:rtl w:val="0"/>
        </w:rPr>
      </w:r>
    </w:p>
    <w:p w:rsidR="00000000" w:rsidDel="00000000" w:rsidP="00000000" w:rsidRDefault="00000000" w:rsidRPr="00000000" w14:paraId="00000224">
      <w:pPr>
        <w:numPr>
          <w:ilvl w:val="0"/>
          <w:numId w:val="1"/>
        </w:numPr>
        <w:pBdr>
          <w:top w:space="0" w:sz="0" w:val="nil"/>
          <w:left w:space="0" w:sz="0" w:val="nil"/>
          <w:bottom w:space="0" w:sz="0" w:val="nil"/>
          <w:right w:space="0" w:sz="0" w:val="nil"/>
          <w:between w:space="0" w:sz="0" w:val="nil"/>
        </w:pBdr>
        <w:spacing w:after="200" w:lineRule="auto"/>
        <w:ind w:left="714" w:hanging="357"/>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Agregacja: </w:t>
      </w:r>
      <w:r w:rsidDel="00000000" w:rsidR="00000000" w:rsidRPr="00000000">
        <w:rPr>
          <w:rFonts w:ascii="Times New Roman" w:cs="Times New Roman" w:eastAsia="Times New Roman" w:hAnsi="Times New Roman"/>
          <w:sz w:val="24"/>
          <w:szCs w:val="24"/>
          <w:rtl w:val="0"/>
        </w:rPr>
        <w:t xml:space="preserve">Użytkownicy będą mogli stosować funkcje agregujące (np. suma, średnia, min, max, %) do grup danych, co ułatwi analizę trendów i wzorców.</w:t>
      </w:r>
      <w:r w:rsidDel="00000000" w:rsidR="00000000" w:rsidRPr="00000000">
        <w:rPr>
          <w:rtl w:val="0"/>
        </w:rPr>
      </w:r>
    </w:p>
    <w:p w:rsidR="00000000" w:rsidDel="00000000" w:rsidP="00000000" w:rsidRDefault="00000000" w:rsidRPr="00000000" w14:paraId="00000225">
      <w:pPr>
        <w:pStyle w:val="Heading4"/>
        <w:numPr>
          <w:ilvl w:val="3"/>
          <w:numId w:val="22"/>
        </w:numPr>
        <w:pBdr>
          <w:top w:space="0" w:sz="0" w:val="nil"/>
          <w:left w:space="0" w:sz="0" w:val="nil"/>
          <w:bottom w:space="0" w:sz="0" w:val="nil"/>
          <w:right w:space="0" w:sz="0" w:val="nil"/>
          <w:between w:space="0" w:sz="0" w:val="nil"/>
        </w:pBdr>
        <w:ind w:left="708" w:hanging="141"/>
        <w:rPr/>
      </w:pPr>
      <w:bookmarkStart w:colFirst="0" w:colLast="0" w:name="_heading=h.nmf14n" w:id="47"/>
      <w:bookmarkEnd w:id="47"/>
      <w:r w:rsidDel="00000000" w:rsidR="00000000" w:rsidRPr="00000000">
        <w:rPr>
          <w:rtl w:val="0"/>
        </w:rPr>
        <w:t xml:space="preserve">Wizualizacja danych w raportach</w:t>
      </w:r>
    </w:p>
    <w:p w:rsidR="00000000" w:rsidDel="00000000" w:rsidP="00000000" w:rsidRDefault="00000000" w:rsidRPr="00000000" w14:paraId="00000226">
      <w:pPr>
        <w:numPr>
          <w:ilvl w:val="0"/>
          <w:numId w:val="1"/>
        </w:numPr>
        <w:pBdr>
          <w:top w:space="0" w:sz="0" w:val="nil"/>
          <w:left w:space="0" w:sz="0" w:val="nil"/>
          <w:bottom w:space="0" w:sz="0" w:val="nil"/>
          <w:right w:space="0" w:sz="0" w:val="nil"/>
          <w:between w:space="0" w:sz="0" w:val="nil"/>
        </w:pBdr>
        <w:ind w:left="714" w:hanging="357"/>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Wykresy i diagramy: </w:t>
      </w:r>
      <w:r w:rsidDel="00000000" w:rsidR="00000000" w:rsidRPr="00000000">
        <w:rPr>
          <w:rFonts w:ascii="Times New Roman" w:cs="Times New Roman" w:eastAsia="Times New Roman" w:hAnsi="Times New Roman"/>
          <w:sz w:val="24"/>
          <w:szCs w:val="24"/>
          <w:rtl w:val="0"/>
        </w:rPr>
        <w:t xml:space="preserve">Narzędzie będzie umożliwiać generowanie różnych typów wykresów i diagramów (np. słupkowe, kołowe, liniowe, punktowe).</w:t>
      </w:r>
      <w:r w:rsidDel="00000000" w:rsidR="00000000" w:rsidRPr="00000000">
        <w:rPr>
          <w:rtl w:val="0"/>
        </w:rPr>
      </w:r>
    </w:p>
    <w:p w:rsidR="00000000" w:rsidDel="00000000" w:rsidP="00000000" w:rsidRDefault="00000000" w:rsidRPr="00000000" w14:paraId="00000227">
      <w:pPr>
        <w:numPr>
          <w:ilvl w:val="0"/>
          <w:numId w:val="1"/>
        </w:numPr>
        <w:pBdr>
          <w:top w:space="0" w:sz="0" w:val="nil"/>
          <w:left w:space="0" w:sz="0" w:val="nil"/>
          <w:bottom w:space="0" w:sz="0" w:val="nil"/>
          <w:right w:space="0" w:sz="0" w:val="nil"/>
          <w:between w:space="0" w:sz="0" w:val="nil"/>
        </w:pBdr>
        <w:spacing w:after="200" w:lineRule="auto"/>
        <w:ind w:left="714" w:hanging="357"/>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Interaktywność wykresów: </w:t>
      </w:r>
      <w:r w:rsidDel="00000000" w:rsidR="00000000" w:rsidRPr="00000000">
        <w:rPr>
          <w:rFonts w:ascii="Times New Roman" w:cs="Times New Roman" w:eastAsia="Times New Roman" w:hAnsi="Times New Roman"/>
          <w:sz w:val="24"/>
          <w:szCs w:val="24"/>
          <w:rtl w:val="0"/>
        </w:rPr>
        <w:t xml:space="preserve">Wykresy w raportach będą interaktywne, co oznacza, że użytkownicy będą mogli najeżdżać kursorem na poszczególne elementy, aby zobaczyć szczegółowe informacje, lub klikać, aby filtrować dane.</w:t>
      </w:r>
      <w:r w:rsidDel="00000000" w:rsidR="00000000" w:rsidRPr="00000000">
        <w:rPr>
          <w:rtl w:val="0"/>
        </w:rPr>
      </w:r>
    </w:p>
    <w:p w:rsidR="00000000" w:rsidDel="00000000" w:rsidP="00000000" w:rsidRDefault="00000000" w:rsidRPr="00000000" w14:paraId="00000228">
      <w:pPr>
        <w:pStyle w:val="Heading4"/>
        <w:numPr>
          <w:ilvl w:val="3"/>
          <w:numId w:val="22"/>
        </w:numPr>
        <w:pBdr>
          <w:top w:space="0" w:sz="0" w:val="nil"/>
          <w:left w:space="0" w:sz="0" w:val="nil"/>
          <w:bottom w:space="0" w:sz="0" w:val="nil"/>
          <w:right w:space="0" w:sz="0" w:val="nil"/>
          <w:between w:space="0" w:sz="0" w:val="nil"/>
        </w:pBdr>
        <w:ind w:left="708" w:hanging="141"/>
        <w:rPr/>
      </w:pPr>
      <w:bookmarkStart w:colFirst="0" w:colLast="0" w:name="_heading=h.37m2jsg" w:id="48"/>
      <w:bookmarkEnd w:id="48"/>
      <w:r w:rsidDel="00000000" w:rsidR="00000000" w:rsidRPr="00000000">
        <w:rPr>
          <w:rtl w:val="0"/>
        </w:rPr>
        <w:t xml:space="preserve">Automatyczne generowanie i harmonogramowanie raportów</w:t>
      </w:r>
    </w:p>
    <w:p w:rsidR="00000000" w:rsidDel="00000000" w:rsidP="00000000" w:rsidRDefault="00000000" w:rsidRPr="00000000" w14:paraId="00000229">
      <w:pPr>
        <w:numPr>
          <w:ilvl w:val="0"/>
          <w:numId w:val="1"/>
        </w:numPr>
        <w:ind w:left="714" w:hanging="35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Automatyczne generowanie: </w:t>
      </w:r>
      <w:r w:rsidDel="00000000" w:rsidR="00000000" w:rsidRPr="00000000">
        <w:rPr>
          <w:rFonts w:ascii="Times New Roman" w:cs="Times New Roman" w:eastAsia="Times New Roman" w:hAnsi="Times New Roman"/>
          <w:sz w:val="24"/>
          <w:szCs w:val="24"/>
          <w:rtl w:val="0"/>
        </w:rPr>
        <w:t xml:space="preserve">W narzędziu zostanie stworzona możliwość automatycznego generowania raportów na podstawie zdefiniowanych szablonów i harmonogramów (np. codziennie, tygodniowo, miesięcznie).</w:t>
      </w:r>
      <w:r w:rsidDel="00000000" w:rsidR="00000000" w:rsidRPr="00000000">
        <w:rPr>
          <w:rtl w:val="0"/>
        </w:rPr>
      </w:r>
    </w:p>
    <w:p w:rsidR="00000000" w:rsidDel="00000000" w:rsidP="00000000" w:rsidRDefault="00000000" w:rsidRPr="00000000" w14:paraId="0000022A">
      <w:pPr>
        <w:numPr>
          <w:ilvl w:val="0"/>
          <w:numId w:val="1"/>
        </w:numPr>
        <w:ind w:left="714" w:hanging="35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Harmonogramowanie: </w:t>
      </w:r>
      <w:r w:rsidDel="00000000" w:rsidR="00000000" w:rsidRPr="00000000">
        <w:rPr>
          <w:rFonts w:ascii="Times New Roman" w:cs="Times New Roman" w:eastAsia="Times New Roman" w:hAnsi="Times New Roman"/>
          <w:sz w:val="24"/>
          <w:szCs w:val="24"/>
          <w:rtl w:val="0"/>
        </w:rPr>
        <w:t xml:space="preserve">Użytkownicy będą mogli ustawić harmonogramy generowania raportów, określając częstotliwość i czas ich generowania.</w:t>
      </w:r>
      <w:r w:rsidDel="00000000" w:rsidR="00000000" w:rsidRPr="00000000">
        <w:rPr>
          <w:rtl w:val="0"/>
        </w:rPr>
      </w:r>
    </w:p>
    <w:p w:rsidR="00000000" w:rsidDel="00000000" w:rsidP="00000000" w:rsidRDefault="00000000" w:rsidRPr="00000000" w14:paraId="0000022B">
      <w:pPr>
        <w:numPr>
          <w:ilvl w:val="0"/>
          <w:numId w:val="1"/>
        </w:numPr>
        <w:spacing w:after="200" w:lineRule="auto"/>
        <w:ind w:left="714" w:hanging="357"/>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sz w:val="24"/>
          <w:szCs w:val="24"/>
          <w:rtl w:val="0"/>
        </w:rPr>
        <w:t xml:space="preserve">Powiadomienia: </w:t>
      </w:r>
      <w:r w:rsidDel="00000000" w:rsidR="00000000" w:rsidRPr="00000000">
        <w:rPr>
          <w:rFonts w:ascii="Times New Roman" w:cs="Times New Roman" w:eastAsia="Times New Roman" w:hAnsi="Times New Roman"/>
          <w:sz w:val="24"/>
          <w:szCs w:val="24"/>
          <w:rtl w:val="0"/>
        </w:rPr>
        <w:t xml:space="preserve">Po wygenerowaniu raportu, narzędzie będzie wysyłać powiadomienia e-mail do określonych użytkowników (zgodnie z uprawnieniami wynikającymi z roli), informując ich o dostępności nowego raportu.</w:t>
      </w:r>
      <w:r w:rsidDel="00000000" w:rsidR="00000000" w:rsidRPr="00000000">
        <w:rPr>
          <w:rtl w:val="0"/>
        </w:rPr>
      </w:r>
    </w:p>
    <w:p w:rsidR="00000000" w:rsidDel="00000000" w:rsidP="00000000" w:rsidRDefault="00000000" w:rsidRPr="00000000" w14:paraId="0000022C">
      <w:pPr>
        <w:pStyle w:val="Heading4"/>
        <w:numPr>
          <w:ilvl w:val="3"/>
          <w:numId w:val="22"/>
        </w:numPr>
        <w:pBdr>
          <w:top w:space="0" w:sz="0" w:val="nil"/>
          <w:left w:space="0" w:sz="0" w:val="nil"/>
          <w:bottom w:space="0" w:sz="0" w:val="nil"/>
          <w:right w:space="0" w:sz="0" w:val="nil"/>
          <w:between w:space="0" w:sz="0" w:val="nil"/>
        </w:pBdr>
        <w:ind w:left="708" w:hanging="141"/>
        <w:rPr/>
      </w:pPr>
      <w:bookmarkStart w:colFirst="0" w:colLast="0" w:name="_heading=h.1mrcu09" w:id="49"/>
      <w:bookmarkEnd w:id="49"/>
      <w:r w:rsidDel="00000000" w:rsidR="00000000" w:rsidRPr="00000000">
        <w:rPr>
          <w:rtl w:val="0"/>
        </w:rPr>
        <w:t xml:space="preserve">Eksport raportów</w:t>
      </w:r>
    </w:p>
    <w:p w:rsidR="00000000" w:rsidDel="00000000" w:rsidP="00000000" w:rsidRDefault="00000000" w:rsidRPr="00000000" w14:paraId="0000022D">
      <w:pPr>
        <w:numPr>
          <w:ilvl w:val="0"/>
          <w:numId w:val="1"/>
        </w:numPr>
        <w:ind w:left="714" w:hanging="35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Formaty eksportu: </w:t>
      </w:r>
      <w:r w:rsidDel="00000000" w:rsidR="00000000" w:rsidRPr="00000000">
        <w:rPr>
          <w:rFonts w:ascii="Times New Roman" w:cs="Times New Roman" w:eastAsia="Times New Roman" w:hAnsi="Times New Roman"/>
          <w:sz w:val="24"/>
          <w:szCs w:val="24"/>
          <w:rtl w:val="0"/>
        </w:rPr>
        <w:t xml:space="preserve">Użytkownicy będą mogli eksportować raporty, wykresy i diagramy do popularnych formatów plików, takich jak PDF, Excel (XLSX), CSV, czy JSON.</w:t>
      </w:r>
      <w:r w:rsidDel="00000000" w:rsidR="00000000" w:rsidRPr="00000000">
        <w:rPr>
          <w:rtl w:val="0"/>
        </w:rPr>
      </w:r>
    </w:p>
    <w:p w:rsidR="00000000" w:rsidDel="00000000" w:rsidP="00000000" w:rsidRDefault="00000000" w:rsidRPr="00000000" w14:paraId="0000022E">
      <w:pPr>
        <w:numPr>
          <w:ilvl w:val="0"/>
          <w:numId w:val="1"/>
        </w:numPr>
        <w:ind w:left="714" w:hanging="35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Opcje eksportu: </w:t>
      </w:r>
      <w:r w:rsidDel="00000000" w:rsidR="00000000" w:rsidRPr="00000000">
        <w:rPr>
          <w:rFonts w:ascii="Times New Roman" w:cs="Times New Roman" w:eastAsia="Times New Roman" w:hAnsi="Times New Roman"/>
          <w:sz w:val="24"/>
          <w:szCs w:val="24"/>
          <w:rtl w:val="0"/>
        </w:rPr>
        <w:t xml:space="preserve">W narzędziu będzie istniała możliwość wyboru opcji eksportu, takich jak zakres dat, poziom szczegółowości danych, itp.</w:t>
      </w:r>
      <w:r w:rsidDel="00000000" w:rsidR="00000000" w:rsidRPr="00000000">
        <w:rPr>
          <w:rtl w:val="0"/>
        </w:rPr>
      </w:r>
    </w:p>
    <w:p w:rsidR="00000000" w:rsidDel="00000000" w:rsidP="00000000" w:rsidRDefault="00000000" w:rsidRPr="00000000" w14:paraId="0000022F">
      <w:pPr>
        <w:numPr>
          <w:ilvl w:val="0"/>
          <w:numId w:val="1"/>
        </w:numPr>
        <w:spacing w:after="200" w:lineRule="auto"/>
        <w:ind w:left="714" w:hanging="357"/>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sz w:val="24"/>
          <w:szCs w:val="24"/>
          <w:rtl w:val="0"/>
        </w:rPr>
        <w:t xml:space="preserve">Wizualizacja pobieranego raportu: </w:t>
      </w:r>
      <w:r w:rsidDel="00000000" w:rsidR="00000000" w:rsidRPr="00000000">
        <w:rPr>
          <w:rFonts w:ascii="Times New Roman" w:cs="Times New Roman" w:eastAsia="Times New Roman" w:hAnsi="Times New Roman"/>
          <w:sz w:val="24"/>
          <w:szCs w:val="24"/>
          <w:rtl w:val="0"/>
        </w:rPr>
        <w:t xml:space="preserve">Pobierany raport, diagram, wykres powinien być opatrzony belką projektową (tylko dla wybranych formatów). Administrator ma możliwość zmiany belki na inną.</w:t>
      </w:r>
      <w:r w:rsidDel="00000000" w:rsidR="00000000" w:rsidRPr="00000000">
        <w:rPr>
          <w:rtl w:val="0"/>
        </w:rPr>
      </w:r>
    </w:p>
    <w:p w:rsidR="00000000" w:rsidDel="00000000" w:rsidP="00000000" w:rsidRDefault="00000000" w:rsidRPr="00000000" w14:paraId="00000230">
      <w:pPr>
        <w:pStyle w:val="Heading3"/>
        <w:numPr>
          <w:ilvl w:val="2"/>
          <w:numId w:val="22"/>
        </w:numPr>
        <w:pBdr>
          <w:top w:space="0" w:sz="0" w:val="nil"/>
          <w:left w:space="0" w:sz="0" w:val="nil"/>
          <w:bottom w:space="0" w:sz="0" w:val="nil"/>
          <w:right w:space="0" w:sz="0" w:val="nil"/>
          <w:between w:space="0" w:sz="0" w:val="nil"/>
        </w:pBdr>
        <w:ind w:left="566" w:hanging="141"/>
        <w:rPr/>
      </w:pPr>
      <w:bookmarkStart w:colFirst="0" w:colLast="0" w:name="_heading=h.46r0co2" w:id="50"/>
      <w:bookmarkEnd w:id="50"/>
      <w:r w:rsidDel="00000000" w:rsidR="00000000" w:rsidRPr="00000000">
        <w:rPr>
          <w:rtl w:val="0"/>
        </w:rPr>
        <w:t xml:space="preserve">Interfejs użytkownika</w:t>
      </w:r>
    </w:p>
    <w:p w:rsidR="00000000" w:rsidDel="00000000" w:rsidP="00000000" w:rsidRDefault="00000000" w:rsidRPr="00000000" w14:paraId="00000231">
      <w:pPr>
        <w:pStyle w:val="Heading4"/>
        <w:numPr>
          <w:ilvl w:val="3"/>
          <w:numId w:val="22"/>
        </w:numPr>
        <w:pBdr>
          <w:top w:space="0" w:sz="0" w:val="nil"/>
          <w:left w:space="0" w:sz="0" w:val="nil"/>
          <w:bottom w:space="0" w:sz="0" w:val="nil"/>
          <w:right w:space="0" w:sz="0" w:val="nil"/>
          <w:between w:space="0" w:sz="0" w:val="nil"/>
        </w:pBdr>
        <w:ind w:left="708" w:hanging="141"/>
        <w:rPr>
          <w:color w:val="000000"/>
        </w:rPr>
      </w:pPr>
      <w:bookmarkStart w:colFirst="0" w:colLast="0" w:name="_heading=h.2lwamvv" w:id="51"/>
      <w:bookmarkEnd w:id="51"/>
      <w:r w:rsidDel="00000000" w:rsidR="00000000" w:rsidRPr="00000000">
        <w:rPr>
          <w:color w:val="000000"/>
          <w:rtl w:val="0"/>
        </w:rPr>
        <w:t xml:space="preserve">Projektowanie interfejsu</w:t>
      </w:r>
    </w:p>
    <w:p w:rsidR="00000000" w:rsidDel="00000000" w:rsidP="00000000" w:rsidRDefault="00000000" w:rsidRPr="00000000" w14:paraId="00000232">
      <w:pPr>
        <w:numPr>
          <w:ilvl w:val="0"/>
          <w:numId w:val="1"/>
        </w:numPr>
        <w:pBdr>
          <w:top w:space="0" w:sz="0" w:val="nil"/>
          <w:left w:space="0" w:sz="0" w:val="nil"/>
          <w:bottom w:space="0" w:sz="0" w:val="nil"/>
          <w:right w:space="0" w:sz="0" w:val="nil"/>
          <w:between w:space="0" w:sz="0" w:val="nil"/>
        </w:pBdr>
        <w:ind w:left="714" w:hanging="35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User-Centered Design (UCD): </w:t>
      </w:r>
      <w:r w:rsidDel="00000000" w:rsidR="00000000" w:rsidRPr="00000000">
        <w:rPr>
          <w:rFonts w:ascii="Times New Roman" w:cs="Times New Roman" w:eastAsia="Times New Roman" w:hAnsi="Times New Roman"/>
          <w:sz w:val="24"/>
          <w:szCs w:val="24"/>
          <w:rtl w:val="0"/>
        </w:rPr>
        <w:t xml:space="preserve">Proces projektowania interfejsu Tabeli Monitorującej będzie oparty na podejściu zorientowanym na użytkownika, uwzględniającym potrzeby i oczekiwania docelowych użytkowników narzędzia (pracowników IBE).</w:t>
      </w:r>
    </w:p>
    <w:p w:rsidR="00000000" w:rsidDel="00000000" w:rsidP="00000000" w:rsidRDefault="00000000" w:rsidRPr="00000000" w14:paraId="00000233">
      <w:pPr>
        <w:numPr>
          <w:ilvl w:val="0"/>
          <w:numId w:val="1"/>
        </w:numPr>
        <w:pBdr>
          <w:top w:space="0" w:sz="0" w:val="nil"/>
          <w:left w:space="0" w:sz="0" w:val="nil"/>
          <w:bottom w:space="0" w:sz="0" w:val="nil"/>
          <w:right w:space="0" w:sz="0" w:val="nil"/>
          <w:between w:space="0" w:sz="0" w:val="nil"/>
        </w:pBdr>
        <w:ind w:left="714" w:hanging="35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Responsywny design: </w:t>
      </w:r>
      <w:r w:rsidDel="00000000" w:rsidR="00000000" w:rsidRPr="00000000">
        <w:rPr>
          <w:rFonts w:ascii="Times New Roman" w:cs="Times New Roman" w:eastAsia="Times New Roman" w:hAnsi="Times New Roman"/>
          <w:sz w:val="24"/>
          <w:szCs w:val="24"/>
          <w:rtl w:val="0"/>
        </w:rPr>
        <w:t xml:space="preserve">Narzędzie musi zostać wykonane w technologii responsywnej, wyświetlać się poprawnie na urządzeniach mobilnych i starszych komputerach (o mniejszej rozdzielczości ekranu).</w:t>
      </w:r>
    </w:p>
    <w:p w:rsidR="00000000" w:rsidDel="00000000" w:rsidP="00000000" w:rsidRDefault="00000000" w:rsidRPr="00000000" w14:paraId="00000234">
      <w:pPr>
        <w:numPr>
          <w:ilvl w:val="0"/>
          <w:numId w:val="1"/>
        </w:numPr>
        <w:pBdr>
          <w:top w:space="0" w:sz="0" w:val="nil"/>
          <w:left w:space="0" w:sz="0" w:val="nil"/>
          <w:bottom w:space="0" w:sz="0" w:val="nil"/>
          <w:right w:space="0" w:sz="0" w:val="nil"/>
          <w:between w:space="0" w:sz="0" w:val="nil"/>
        </w:pBdr>
        <w:spacing w:after="200" w:lineRule="auto"/>
        <w:ind w:left="714" w:hanging="35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Prostota i intuicyjność: </w:t>
      </w:r>
      <w:r w:rsidDel="00000000" w:rsidR="00000000" w:rsidRPr="00000000">
        <w:rPr>
          <w:rFonts w:ascii="Times New Roman" w:cs="Times New Roman" w:eastAsia="Times New Roman" w:hAnsi="Times New Roman"/>
          <w:sz w:val="24"/>
          <w:szCs w:val="24"/>
          <w:rtl w:val="0"/>
        </w:rPr>
        <w:t xml:space="preserve">Projektując interfejs narzędzia należy kierować się zasadą KISS (Keep It Simple, Stupid), aby zapewnić jego prostotę i intuicyjność. Użytkownicy powinni łatwo znaleźć potrzebne funkcje i wykonywać zadania bez zbędnego wysiłku.</w:t>
      </w:r>
    </w:p>
    <w:p w:rsidR="00000000" w:rsidDel="00000000" w:rsidP="00000000" w:rsidRDefault="00000000" w:rsidRPr="00000000" w14:paraId="00000235">
      <w:pPr>
        <w:pStyle w:val="Heading4"/>
        <w:numPr>
          <w:ilvl w:val="3"/>
          <w:numId w:val="22"/>
        </w:numPr>
        <w:pBdr>
          <w:top w:space="0" w:sz="0" w:val="nil"/>
          <w:left w:space="0" w:sz="0" w:val="nil"/>
          <w:bottom w:space="0" w:sz="0" w:val="nil"/>
          <w:right w:space="0" w:sz="0" w:val="nil"/>
          <w:between w:space="0" w:sz="0" w:val="nil"/>
        </w:pBdr>
        <w:ind w:left="708" w:hanging="141"/>
        <w:rPr>
          <w:color w:val="000000"/>
        </w:rPr>
      </w:pPr>
      <w:bookmarkStart w:colFirst="0" w:colLast="0" w:name="_heading=h.111kx3o" w:id="52"/>
      <w:bookmarkEnd w:id="52"/>
      <w:r w:rsidDel="00000000" w:rsidR="00000000" w:rsidRPr="00000000">
        <w:rPr>
          <w:color w:val="000000"/>
          <w:rtl w:val="0"/>
        </w:rPr>
        <w:t xml:space="preserve">Przeglądanie danych</w:t>
      </w:r>
    </w:p>
    <w:p w:rsidR="00000000" w:rsidDel="00000000" w:rsidP="00000000" w:rsidRDefault="00000000" w:rsidRPr="00000000" w14:paraId="00000236">
      <w:pPr>
        <w:numPr>
          <w:ilvl w:val="0"/>
          <w:numId w:val="1"/>
        </w:numPr>
        <w:pBdr>
          <w:top w:space="0" w:sz="0" w:val="nil"/>
          <w:left w:space="0" w:sz="0" w:val="nil"/>
          <w:bottom w:space="0" w:sz="0" w:val="nil"/>
          <w:right w:space="0" w:sz="0" w:val="nil"/>
          <w:between w:space="0" w:sz="0" w:val="nil"/>
        </w:pBdr>
        <w:ind w:left="714" w:hanging="35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Tabele z danymi: </w:t>
      </w:r>
      <w:r w:rsidDel="00000000" w:rsidR="00000000" w:rsidRPr="00000000">
        <w:rPr>
          <w:rFonts w:ascii="Times New Roman" w:cs="Times New Roman" w:eastAsia="Times New Roman" w:hAnsi="Times New Roman"/>
          <w:sz w:val="24"/>
          <w:szCs w:val="24"/>
          <w:rtl w:val="0"/>
        </w:rPr>
        <w:t xml:space="preserve">Głównym elementem interfejsu narzędzia będą tabele, które pozwolą użytkownikom na przeglądanie zgromadzonych danych w sposób przejrzysty i zorganizowany.</w:t>
      </w:r>
    </w:p>
    <w:p w:rsidR="00000000" w:rsidDel="00000000" w:rsidP="00000000" w:rsidRDefault="00000000" w:rsidRPr="00000000" w14:paraId="00000237">
      <w:pPr>
        <w:numPr>
          <w:ilvl w:val="0"/>
          <w:numId w:val="1"/>
        </w:numPr>
        <w:pBdr>
          <w:top w:space="0" w:sz="0" w:val="nil"/>
          <w:left w:space="0" w:sz="0" w:val="nil"/>
          <w:bottom w:space="0" w:sz="0" w:val="nil"/>
          <w:right w:space="0" w:sz="0" w:val="nil"/>
          <w:between w:space="0" w:sz="0" w:val="nil"/>
        </w:pBdr>
        <w:ind w:left="714" w:hanging="35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Filtrowanie i sortowanie: </w:t>
      </w:r>
      <w:r w:rsidDel="00000000" w:rsidR="00000000" w:rsidRPr="00000000">
        <w:rPr>
          <w:rFonts w:ascii="Times New Roman" w:cs="Times New Roman" w:eastAsia="Times New Roman" w:hAnsi="Times New Roman"/>
          <w:sz w:val="24"/>
          <w:szCs w:val="24"/>
          <w:rtl w:val="0"/>
        </w:rPr>
        <w:t xml:space="preserve">Użytkownicy będą mogli filtrować i sortować dane według wybranych kryteriów, co umożliwi im szybkie odnalezienie potrzebnych informacji.</w:t>
      </w:r>
    </w:p>
    <w:p w:rsidR="00000000" w:rsidDel="00000000" w:rsidP="00000000" w:rsidRDefault="00000000" w:rsidRPr="00000000" w14:paraId="00000238">
      <w:pPr>
        <w:numPr>
          <w:ilvl w:val="0"/>
          <w:numId w:val="1"/>
        </w:numPr>
        <w:pBdr>
          <w:top w:space="0" w:sz="0" w:val="nil"/>
          <w:left w:space="0" w:sz="0" w:val="nil"/>
          <w:bottom w:space="0" w:sz="0" w:val="nil"/>
          <w:right w:space="0" w:sz="0" w:val="nil"/>
          <w:between w:space="0" w:sz="0" w:val="nil"/>
        </w:pBdr>
        <w:spacing w:after="200" w:lineRule="auto"/>
        <w:ind w:left="714" w:hanging="35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Stronicowanie: </w:t>
      </w:r>
      <w:r w:rsidDel="00000000" w:rsidR="00000000" w:rsidRPr="00000000">
        <w:rPr>
          <w:rFonts w:ascii="Times New Roman" w:cs="Times New Roman" w:eastAsia="Times New Roman" w:hAnsi="Times New Roman"/>
          <w:sz w:val="24"/>
          <w:szCs w:val="24"/>
          <w:rtl w:val="0"/>
        </w:rPr>
        <w:t xml:space="preserve">Tabele będą obsługiwać stronicowanie, aby uniknąć wyświetlania zbyt dużej liczby danych na jednej stronie, co mogłoby obniżyć wydajność i czytelność interfejsu.</w:t>
      </w:r>
    </w:p>
    <w:p w:rsidR="00000000" w:rsidDel="00000000" w:rsidP="00000000" w:rsidRDefault="00000000" w:rsidRPr="00000000" w14:paraId="00000239">
      <w:pPr>
        <w:pStyle w:val="Heading4"/>
        <w:numPr>
          <w:ilvl w:val="3"/>
          <w:numId w:val="22"/>
        </w:numPr>
        <w:pBdr>
          <w:top w:space="0" w:sz="0" w:val="nil"/>
          <w:left w:space="0" w:sz="0" w:val="nil"/>
          <w:bottom w:space="0" w:sz="0" w:val="nil"/>
          <w:right w:space="0" w:sz="0" w:val="nil"/>
          <w:between w:space="0" w:sz="0" w:val="nil"/>
        </w:pBdr>
        <w:ind w:left="708" w:hanging="141"/>
        <w:rPr>
          <w:color w:val="000000"/>
        </w:rPr>
      </w:pPr>
      <w:bookmarkStart w:colFirst="0" w:colLast="0" w:name="_heading=h.3l18frh" w:id="53"/>
      <w:bookmarkEnd w:id="53"/>
      <w:r w:rsidDel="00000000" w:rsidR="00000000" w:rsidRPr="00000000">
        <w:rPr>
          <w:color w:val="000000"/>
          <w:rtl w:val="0"/>
        </w:rPr>
        <w:t xml:space="preserve">Edycja i dodawanie danych</w:t>
      </w:r>
    </w:p>
    <w:p w:rsidR="00000000" w:rsidDel="00000000" w:rsidP="00000000" w:rsidRDefault="00000000" w:rsidRPr="00000000" w14:paraId="0000023A">
      <w:pPr>
        <w:numPr>
          <w:ilvl w:val="0"/>
          <w:numId w:val="1"/>
        </w:numPr>
        <w:pBdr>
          <w:top w:space="0" w:sz="0" w:val="nil"/>
          <w:left w:space="0" w:sz="0" w:val="nil"/>
          <w:bottom w:space="0" w:sz="0" w:val="nil"/>
          <w:right w:space="0" w:sz="0" w:val="nil"/>
          <w:between w:space="0" w:sz="0" w:val="nil"/>
        </w:pBdr>
        <w:ind w:left="714" w:hanging="35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Formularze do edycji danych: </w:t>
      </w:r>
      <w:r w:rsidDel="00000000" w:rsidR="00000000" w:rsidRPr="00000000">
        <w:rPr>
          <w:rFonts w:ascii="Times New Roman" w:cs="Times New Roman" w:eastAsia="Times New Roman" w:hAnsi="Times New Roman"/>
          <w:sz w:val="24"/>
          <w:szCs w:val="24"/>
          <w:rtl w:val="0"/>
        </w:rPr>
        <w:t xml:space="preserve">Interfejs narzędzia będzie zawierał formularze umożliwiające edycję istniejących rekordów. Formularze będą dostosowane do różnych typów danych (np. tekst, liczby, daty, słowniki).</w:t>
      </w:r>
    </w:p>
    <w:p w:rsidR="00000000" w:rsidDel="00000000" w:rsidP="00000000" w:rsidRDefault="00000000" w:rsidRPr="00000000" w14:paraId="0000023B">
      <w:pPr>
        <w:numPr>
          <w:ilvl w:val="0"/>
          <w:numId w:val="1"/>
        </w:numPr>
        <w:pBdr>
          <w:top w:space="0" w:sz="0" w:val="nil"/>
          <w:left w:space="0" w:sz="0" w:val="nil"/>
          <w:bottom w:space="0" w:sz="0" w:val="nil"/>
          <w:right w:space="0" w:sz="0" w:val="nil"/>
          <w:between w:space="0" w:sz="0" w:val="nil"/>
        </w:pBdr>
        <w:ind w:left="714" w:hanging="35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Dodawanie nowych danych: </w:t>
      </w:r>
      <w:r w:rsidDel="00000000" w:rsidR="00000000" w:rsidRPr="00000000">
        <w:rPr>
          <w:rFonts w:ascii="Times New Roman" w:cs="Times New Roman" w:eastAsia="Times New Roman" w:hAnsi="Times New Roman"/>
          <w:sz w:val="24"/>
          <w:szCs w:val="24"/>
          <w:rtl w:val="0"/>
        </w:rPr>
        <w:t xml:space="preserve">Użytkownicy będą mogli dodawać nowe rekordy za pomocą intuicyjnych formularzy, które będą prowadzić ich przez proces wprowadzania danych.</w:t>
      </w:r>
    </w:p>
    <w:p w:rsidR="00000000" w:rsidDel="00000000" w:rsidP="00000000" w:rsidRDefault="00000000" w:rsidRPr="00000000" w14:paraId="0000023C">
      <w:pPr>
        <w:numPr>
          <w:ilvl w:val="0"/>
          <w:numId w:val="1"/>
        </w:numPr>
        <w:pBdr>
          <w:top w:space="0" w:sz="0" w:val="nil"/>
          <w:left w:space="0" w:sz="0" w:val="nil"/>
          <w:bottom w:space="0" w:sz="0" w:val="nil"/>
          <w:right w:space="0" w:sz="0" w:val="nil"/>
          <w:between w:space="0" w:sz="0" w:val="nil"/>
        </w:pBdr>
        <w:ind w:left="714" w:hanging="35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Walidacja danych: </w:t>
      </w:r>
      <w:r w:rsidDel="00000000" w:rsidR="00000000" w:rsidRPr="00000000">
        <w:rPr>
          <w:rFonts w:ascii="Times New Roman" w:cs="Times New Roman" w:eastAsia="Times New Roman" w:hAnsi="Times New Roman"/>
          <w:sz w:val="24"/>
          <w:szCs w:val="24"/>
          <w:rtl w:val="0"/>
        </w:rPr>
        <w:t xml:space="preserve">Formularze będą wyposażone w mechanizmy walidacji danych, które będą sprawdzać poprawność wprowadzanych informacji (np. wymagane pola, formaty danych, zależności między poszczególnymi polami) przed zapisaniem zmian.</w:t>
      </w:r>
    </w:p>
    <w:p w:rsidR="00000000" w:rsidDel="00000000" w:rsidP="00000000" w:rsidRDefault="00000000" w:rsidRPr="00000000" w14:paraId="0000023D">
      <w:pPr>
        <w:numPr>
          <w:ilvl w:val="0"/>
          <w:numId w:val="1"/>
        </w:numPr>
        <w:pBdr>
          <w:top w:space="0" w:sz="0" w:val="nil"/>
          <w:left w:space="0" w:sz="0" w:val="nil"/>
          <w:bottom w:space="0" w:sz="0" w:val="nil"/>
          <w:right w:space="0" w:sz="0" w:val="nil"/>
          <w:between w:space="0" w:sz="0" w:val="nil"/>
        </w:pBdr>
        <w:ind w:left="714" w:hanging="35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Dodawanie nowych danych z innych źródeł: </w:t>
      </w:r>
      <w:r w:rsidDel="00000000" w:rsidR="00000000" w:rsidRPr="00000000">
        <w:rPr>
          <w:rFonts w:ascii="Times New Roman" w:cs="Times New Roman" w:eastAsia="Times New Roman" w:hAnsi="Times New Roman"/>
          <w:sz w:val="24"/>
          <w:szCs w:val="24"/>
          <w:rtl w:val="0"/>
        </w:rPr>
        <w:t xml:space="preserve">Interfejs narzędzia będzie dawał możliwość przeglądania, porównywania ze wskazaniem różnic między danymi oraz edycji danych ze źródeł zewnętrznych przed importem do bazy danych Tabeli Monitorującej.</w:t>
      </w:r>
      <w:r w:rsidDel="00000000" w:rsidR="00000000" w:rsidRPr="00000000">
        <w:rPr>
          <w:rFonts w:ascii="Times New Roman" w:cs="Times New Roman" w:eastAsia="Times New Roman" w:hAnsi="Times New Roman"/>
          <w:sz w:val="24"/>
          <w:szCs w:val="24"/>
          <w:highlight w:val="yellow"/>
          <w:rtl w:val="0"/>
        </w:rPr>
        <w:t xml:space="preserve"> </w:t>
      </w:r>
      <w:r w:rsidDel="00000000" w:rsidR="00000000" w:rsidRPr="00000000">
        <w:rPr>
          <w:rtl w:val="0"/>
        </w:rPr>
      </w:r>
    </w:p>
    <w:p w:rsidR="00000000" w:rsidDel="00000000" w:rsidP="00000000" w:rsidRDefault="00000000" w:rsidRPr="00000000" w14:paraId="0000023E">
      <w:pPr>
        <w:numPr>
          <w:ilvl w:val="0"/>
          <w:numId w:val="1"/>
        </w:numPr>
        <w:pBdr>
          <w:top w:space="0" w:sz="0" w:val="nil"/>
          <w:left w:space="0" w:sz="0" w:val="nil"/>
          <w:bottom w:space="0" w:sz="0" w:val="nil"/>
          <w:right w:space="0" w:sz="0" w:val="nil"/>
          <w:between w:space="0" w:sz="0" w:val="nil"/>
        </w:pBdr>
        <w:ind w:left="714" w:hanging="357"/>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Tagowanie: </w:t>
      </w:r>
      <w:r w:rsidDel="00000000" w:rsidR="00000000" w:rsidRPr="00000000">
        <w:rPr>
          <w:rFonts w:ascii="Times New Roman" w:cs="Times New Roman" w:eastAsia="Times New Roman" w:hAnsi="Times New Roman"/>
          <w:sz w:val="24"/>
          <w:szCs w:val="24"/>
          <w:rtl w:val="0"/>
        </w:rPr>
        <w:t xml:space="preserve">Z poziomu interfejsu użytkownika będzie istniała możliwość łatwego zarządzania tagami oraz szybkiego tagowania danych.  </w:t>
      </w:r>
      <w:r w:rsidDel="00000000" w:rsidR="00000000" w:rsidRPr="00000000">
        <w:rPr>
          <w:rtl w:val="0"/>
        </w:rPr>
      </w:r>
    </w:p>
    <w:p w:rsidR="00000000" w:rsidDel="00000000" w:rsidP="00000000" w:rsidRDefault="00000000" w:rsidRPr="00000000" w14:paraId="0000023F">
      <w:pPr>
        <w:numPr>
          <w:ilvl w:val="0"/>
          <w:numId w:val="1"/>
        </w:numPr>
        <w:pBdr>
          <w:top w:space="0" w:sz="0" w:val="nil"/>
          <w:left w:space="0" w:sz="0" w:val="nil"/>
          <w:bottom w:space="0" w:sz="0" w:val="nil"/>
          <w:right w:space="0" w:sz="0" w:val="nil"/>
          <w:between w:space="0" w:sz="0" w:val="nil"/>
        </w:pBdr>
        <w:spacing w:after="200" w:lineRule="auto"/>
        <w:ind w:left="714" w:hanging="357"/>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Blokowanie formularzy do edycji danych/rekordów z danymi: </w:t>
      </w:r>
      <w:r w:rsidDel="00000000" w:rsidR="00000000" w:rsidRPr="00000000">
        <w:rPr>
          <w:rFonts w:ascii="Times New Roman" w:cs="Times New Roman" w:eastAsia="Times New Roman" w:hAnsi="Times New Roman"/>
          <w:sz w:val="24"/>
          <w:szCs w:val="24"/>
          <w:rtl w:val="0"/>
        </w:rPr>
        <w:t xml:space="preserve">Narzędzie będzie uniemożliwiało jednoczesną edycję tych samych danych przez kilku użytkowników. Użytkownik będzie informowany o tym fakcie stosownym komunikatem.</w:t>
      </w:r>
      <w:r w:rsidDel="00000000" w:rsidR="00000000" w:rsidRPr="00000000">
        <w:rPr>
          <w:rtl w:val="0"/>
        </w:rPr>
      </w:r>
    </w:p>
    <w:p w:rsidR="00000000" w:rsidDel="00000000" w:rsidP="00000000" w:rsidRDefault="00000000" w:rsidRPr="00000000" w14:paraId="00000240">
      <w:pPr>
        <w:pStyle w:val="Heading4"/>
        <w:numPr>
          <w:ilvl w:val="3"/>
          <w:numId w:val="22"/>
        </w:numPr>
        <w:pBdr>
          <w:top w:space="0" w:sz="0" w:val="nil"/>
          <w:left w:space="0" w:sz="0" w:val="nil"/>
          <w:bottom w:space="0" w:sz="0" w:val="nil"/>
          <w:right w:space="0" w:sz="0" w:val="nil"/>
          <w:between w:space="0" w:sz="0" w:val="nil"/>
        </w:pBdr>
        <w:ind w:left="708" w:hanging="141"/>
        <w:rPr/>
      </w:pPr>
      <w:bookmarkStart w:colFirst="0" w:colLast="0" w:name="_heading=h.206ipza" w:id="54"/>
      <w:bookmarkEnd w:id="54"/>
      <w:r w:rsidDel="00000000" w:rsidR="00000000" w:rsidRPr="00000000">
        <w:rPr>
          <w:rtl w:val="0"/>
        </w:rPr>
        <w:t xml:space="preserve">Przeglądanie historii zmian</w:t>
      </w:r>
    </w:p>
    <w:p w:rsidR="00000000" w:rsidDel="00000000" w:rsidP="00000000" w:rsidRDefault="00000000" w:rsidRPr="00000000" w14:paraId="00000241">
      <w:pPr>
        <w:numPr>
          <w:ilvl w:val="0"/>
          <w:numId w:val="1"/>
        </w:numPr>
        <w:pBdr>
          <w:top w:space="0" w:sz="0" w:val="nil"/>
          <w:left w:space="0" w:sz="0" w:val="nil"/>
          <w:bottom w:space="0" w:sz="0" w:val="nil"/>
          <w:right w:space="0" w:sz="0" w:val="nil"/>
          <w:between w:space="0" w:sz="0" w:val="nil"/>
        </w:pBdr>
        <w:ind w:left="714" w:hanging="35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Możliwość przeglądania historii zmian: </w:t>
      </w:r>
      <w:r w:rsidDel="00000000" w:rsidR="00000000" w:rsidRPr="00000000">
        <w:rPr>
          <w:rFonts w:ascii="Times New Roman" w:cs="Times New Roman" w:eastAsia="Times New Roman" w:hAnsi="Times New Roman"/>
          <w:sz w:val="24"/>
          <w:szCs w:val="24"/>
          <w:rtl w:val="0"/>
        </w:rPr>
        <w:t xml:space="preserve">Użytkownik będzie miał możliwość przeglądania historii zmian dla poszczególnych rekordów. Użytkownicy będą mogli zobaczyć pełną historię operacji wykonanych na danym rekordzie.</w:t>
      </w:r>
    </w:p>
    <w:p w:rsidR="00000000" w:rsidDel="00000000" w:rsidP="00000000" w:rsidRDefault="00000000" w:rsidRPr="00000000" w14:paraId="00000242">
      <w:pPr>
        <w:numPr>
          <w:ilvl w:val="0"/>
          <w:numId w:val="1"/>
        </w:numPr>
        <w:pBdr>
          <w:top w:space="0" w:sz="0" w:val="nil"/>
          <w:left w:space="0" w:sz="0" w:val="nil"/>
          <w:bottom w:space="0" w:sz="0" w:val="nil"/>
          <w:right w:space="0" w:sz="0" w:val="nil"/>
          <w:between w:space="0" w:sz="0" w:val="nil"/>
        </w:pBdr>
        <w:spacing w:after="200" w:lineRule="auto"/>
        <w:ind w:left="714" w:hanging="35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Filtry i wyszukiwanie: </w:t>
      </w:r>
      <w:r w:rsidDel="00000000" w:rsidR="00000000" w:rsidRPr="00000000">
        <w:rPr>
          <w:rFonts w:ascii="Times New Roman" w:cs="Times New Roman" w:eastAsia="Times New Roman" w:hAnsi="Times New Roman"/>
          <w:sz w:val="24"/>
          <w:szCs w:val="24"/>
          <w:rtl w:val="0"/>
        </w:rPr>
        <w:t xml:space="preserve">Użytkownicy będą mogli filtrować historię zmian według różnych kryteriów, takich jak data, użytkownik, rodzaj operacji, itp., oraz wyszukiwać konkretne zmiany.</w:t>
      </w:r>
    </w:p>
    <w:p w:rsidR="00000000" w:rsidDel="00000000" w:rsidP="00000000" w:rsidRDefault="00000000" w:rsidRPr="00000000" w14:paraId="00000243">
      <w:pPr>
        <w:pStyle w:val="Heading4"/>
        <w:numPr>
          <w:ilvl w:val="3"/>
          <w:numId w:val="22"/>
        </w:numPr>
        <w:pBdr>
          <w:top w:space="0" w:sz="0" w:val="nil"/>
          <w:left w:space="0" w:sz="0" w:val="nil"/>
          <w:bottom w:space="0" w:sz="0" w:val="nil"/>
          <w:right w:space="0" w:sz="0" w:val="nil"/>
          <w:between w:space="0" w:sz="0" w:val="nil"/>
        </w:pBdr>
        <w:ind w:left="708" w:hanging="141"/>
        <w:rPr>
          <w:color w:val="000000"/>
        </w:rPr>
      </w:pPr>
      <w:bookmarkStart w:colFirst="0" w:colLast="0" w:name="_heading=h.4k668n3" w:id="55"/>
      <w:bookmarkEnd w:id="55"/>
      <w:r w:rsidDel="00000000" w:rsidR="00000000" w:rsidRPr="00000000">
        <w:rPr>
          <w:rtl w:val="0"/>
        </w:rPr>
        <w:t xml:space="preserve">Interfejs administratora</w:t>
      </w:r>
      <w:r w:rsidDel="00000000" w:rsidR="00000000" w:rsidRPr="00000000">
        <w:rPr>
          <w:rtl w:val="0"/>
        </w:rPr>
      </w:r>
    </w:p>
    <w:p w:rsidR="00000000" w:rsidDel="00000000" w:rsidP="00000000" w:rsidRDefault="00000000" w:rsidRPr="00000000" w14:paraId="00000244">
      <w:pPr>
        <w:numPr>
          <w:ilvl w:val="0"/>
          <w:numId w:val="1"/>
        </w:numPr>
        <w:pBdr>
          <w:top w:space="0" w:sz="0" w:val="nil"/>
          <w:left w:space="0" w:sz="0" w:val="nil"/>
          <w:bottom w:space="0" w:sz="0" w:val="nil"/>
          <w:right w:space="0" w:sz="0" w:val="nil"/>
          <w:between w:space="0" w:sz="0" w:val="nil"/>
        </w:pBdr>
        <w:ind w:left="714" w:hanging="35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Zarządzanie użytkownikami: </w:t>
      </w:r>
      <w:r w:rsidDel="00000000" w:rsidR="00000000" w:rsidRPr="00000000">
        <w:rPr>
          <w:rFonts w:ascii="Times New Roman" w:cs="Times New Roman" w:eastAsia="Times New Roman" w:hAnsi="Times New Roman"/>
          <w:sz w:val="24"/>
          <w:szCs w:val="24"/>
          <w:rtl w:val="0"/>
        </w:rPr>
        <w:t xml:space="preserve">Dodawanie użytkowników, edycja profili użytkowników, dezaktywacja kont użytkowników.</w:t>
      </w:r>
    </w:p>
    <w:p w:rsidR="00000000" w:rsidDel="00000000" w:rsidP="00000000" w:rsidRDefault="00000000" w:rsidRPr="00000000" w14:paraId="00000245">
      <w:pPr>
        <w:numPr>
          <w:ilvl w:val="0"/>
          <w:numId w:val="1"/>
        </w:numPr>
        <w:pBdr>
          <w:top w:space="0" w:sz="0" w:val="nil"/>
          <w:left w:space="0" w:sz="0" w:val="nil"/>
          <w:bottom w:space="0" w:sz="0" w:val="nil"/>
          <w:right w:space="0" w:sz="0" w:val="nil"/>
          <w:between w:space="0" w:sz="0" w:val="nil"/>
        </w:pBdr>
        <w:ind w:left="714" w:hanging="35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Definiowanie ról:</w:t>
      </w:r>
      <w:r w:rsidDel="00000000" w:rsidR="00000000" w:rsidRPr="00000000">
        <w:rPr>
          <w:rFonts w:ascii="Times New Roman" w:cs="Times New Roman" w:eastAsia="Times New Roman" w:hAnsi="Times New Roman"/>
          <w:sz w:val="24"/>
          <w:szCs w:val="24"/>
          <w:rtl w:val="0"/>
        </w:rPr>
        <w:t xml:space="preserve"> Administrator będzie mógł tworzyć nowe role i je edytować, określając ich uprawnienia do poszczególnych funkcji i danych w aplikacji.</w:t>
      </w:r>
    </w:p>
    <w:p w:rsidR="00000000" w:rsidDel="00000000" w:rsidP="00000000" w:rsidRDefault="00000000" w:rsidRPr="00000000" w14:paraId="00000246">
      <w:pPr>
        <w:numPr>
          <w:ilvl w:val="0"/>
          <w:numId w:val="1"/>
        </w:numPr>
        <w:pBdr>
          <w:top w:space="0" w:sz="0" w:val="nil"/>
          <w:left w:space="0" w:sz="0" w:val="nil"/>
          <w:bottom w:space="0" w:sz="0" w:val="nil"/>
          <w:right w:space="0" w:sz="0" w:val="nil"/>
          <w:between w:space="0" w:sz="0" w:val="nil"/>
        </w:pBdr>
        <w:ind w:left="714" w:hanging="35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Monitorowanie aktywności użytkowników: </w:t>
      </w:r>
      <w:r w:rsidDel="00000000" w:rsidR="00000000" w:rsidRPr="00000000">
        <w:rPr>
          <w:rFonts w:ascii="Times New Roman" w:cs="Times New Roman" w:eastAsia="Times New Roman" w:hAnsi="Times New Roman"/>
          <w:sz w:val="24"/>
          <w:szCs w:val="24"/>
          <w:rtl w:val="0"/>
        </w:rPr>
        <w:t xml:space="preserve">Administrator będzie miał dostęp do logów aktywności użytkowników, obejmujących operacje takie jak logowanie/wylogowywanie, dodawanie, edytowanie i usuwanie danych.</w:t>
      </w:r>
    </w:p>
    <w:p w:rsidR="00000000" w:rsidDel="00000000" w:rsidP="00000000" w:rsidRDefault="00000000" w:rsidRPr="00000000" w14:paraId="00000247">
      <w:pPr>
        <w:numPr>
          <w:ilvl w:val="0"/>
          <w:numId w:val="1"/>
        </w:numPr>
        <w:pBdr>
          <w:top w:space="0" w:sz="0" w:val="nil"/>
          <w:left w:space="0" w:sz="0" w:val="nil"/>
          <w:bottom w:space="0" w:sz="0" w:val="nil"/>
          <w:right w:space="0" w:sz="0" w:val="nil"/>
          <w:between w:space="0" w:sz="0" w:val="nil"/>
        </w:pBdr>
        <w:ind w:left="714" w:hanging="35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Zarządzanie sesjami użytkowników (opcjonalnie):</w:t>
      </w:r>
      <w:r w:rsidDel="00000000" w:rsidR="00000000" w:rsidRPr="00000000">
        <w:rPr>
          <w:rFonts w:ascii="Times New Roman" w:cs="Times New Roman" w:eastAsia="Times New Roman" w:hAnsi="Times New Roman"/>
          <w:sz w:val="24"/>
          <w:szCs w:val="24"/>
          <w:rtl w:val="0"/>
        </w:rPr>
        <w:t xml:space="preserve"> W tym możliwość przeglądania aktywnych sesji, wylogowywania użytkowników oraz ustawianie limitów czasowych sesji.</w:t>
      </w:r>
    </w:p>
    <w:p w:rsidR="00000000" w:rsidDel="00000000" w:rsidP="00000000" w:rsidRDefault="00000000" w:rsidRPr="00000000" w14:paraId="00000248">
      <w:pPr>
        <w:numPr>
          <w:ilvl w:val="0"/>
          <w:numId w:val="1"/>
        </w:numPr>
        <w:pBdr>
          <w:top w:space="0" w:sz="0" w:val="nil"/>
          <w:left w:space="0" w:sz="0" w:val="nil"/>
          <w:bottom w:space="0" w:sz="0" w:val="nil"/>
          <w:right w:space="0" w:sz="0" w:val="nil"/>
          <w:between w:space="0" w:sz="0" w:val="nil"/>
        </w:pBdr>
        <w:ind w:left="714" w:hanging="35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Generowanie raportów dotyczących aktywności użytkowników: </w:t>
      </w:r>
      <w:r w:rsidDel="00000000" w:rsidR="00000000" w:rsidRPr="00000000">
        <w:rPr>
          <w:rFonts w:ascii="Times New Roman" w:cs="Times New Roman" w:eastAsia="Times New Roman" w:hAnsi="Times New Roman"/>
          <w:sz w:val="24"/>
          <w:szCs w:val="24"/>
          <w:rtl w:val="0"/>
        </w:rPr>
        <w:t xml:space="preserve">Możliwość generowania raportów zawierających informacje dotyczące użycia narzędzia, operacji na danych oraz innych istotnych zdarzeń.</w:t>
      </w:r>
    </w:p>
    <w:p w:rsidR="00000000" w:rsidDel="00000000" w:rsidP="00000000" w:rsidRDefault="00000000" w:rsidRPr="00000000" w14:paraId="00000249">
      <w:pPr>
        <w:numPr>
          <w:ilvl w:val="0"/>
          <w:numId w:val="1"/>
        </w:numPr>
        <w:pBdr>
          <w:top w:space="0" w:sz="0" w:val="nil"/>
          <w:left w:space="0" w:sz="0" w:val="nil"/>
          <w:bottom w:space="0" w:sz="0" w:val="nil"/>
          <w:right w:space="0" w:sz="0" w:val="nil"/>
          <w:between w:space="0" w:sz="0" w:val="nil"/>
        </w:pBdr>
        <w:ind w:left="714" w:hanging="35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Alerty i powiadomienia (opcjonalnie): </w:t>
      </w:r>
      <w:r w:rsidDel="00000000" w:rsidR="00000000" w:rsidRPr="00000000">
        <w:rPr>
          <w:rFonts w:ascii="Times New Roman" w:cs="Times New Roman" w:eastAsia="Times New Roman" w:hAnsi="Times New Roman"/>
          <w:sz w:val="24"/>
          <w:szCs w:val="24"/>
          <w:rtl w:val="0"/>
        </w:rPr>
        <w:t xml:space="preserve">Konfiguracja alertów informujących administratora o podejrzanych aktywnościach, np. wielokrotnych nieudanych próbach logowania.</w:t>
      </w:r>
    </w:p>
    <w:p w:rsidR="00000000" w:rsidDel="00000000" w:rsidP="00000000" w:rsidRDefault="00000000" w:rsidRPr="00000000" w14:paraId="0000024A">
      <w:pPr>
        <w:numPr>
          <w:ilvl w:val="0"/>
          <w:numId w:val="1"/>
        </w:numPr>
        <w:pBdr>
          <w:top w:space="0" w:sz="0" w:val="nil"/>
          <w:left w:space="0" w:sz="0" w:val="nil"/>
          <w:bottom w:space="0" w:sz="0" w:val="nil"/>
          <w:right w:space="0" w:sz="0" w:val="nil"/>
          <w:between w:space="0" w:sz="0" w:val="nil"/>
        </w:pBdr>
        <w:ind w:left="714" w:hanging="35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Konfiguracja widoków innych źródeł danych: </w:t>
      </w:r>
      <w:r w:rsidDel="00000000" w:rsidR="00000000" w:rsidRPr="00000000">
        <w:rPr>
          <w:rFonts w:ascii="Times New Roman" w:cs="Times New Roman" w:eastAsia="Times New Roman" w:hAnsi="Times New Roman"/>
          <w:sz w:val="24"/>
          <w:szCs w:val="24"/>
          <w:rtl w:val="0"/>
        </w:rPr>
        <w:t xml:space="preserve">Umożliwienie użytkownikom podglądu danych przechowywanych i procedowanych w zewnętrznych systemach bezpośrednio z poziomu narzędzia.</w:t>
      </w:r>
    </w:p>
    <w:p w:rsidR="00000000" w:rsidDel="00000000" w:rsidP="00000000" w:rsidRDefault="00000000" w:rsidRPr="00000000" w14:paraId="0000024B">
      <w:pPr>
        <w:numPr>
          <w:ilvl w:val="0"/>
          <w:numId w:val="1"/>
        </w:numPr>
        <w:pBdr>
          <w:top w:space="0" w:sz="0" w:val="nil"/>
          <w:left w:space="0" w:sz="0" w:val="nil"/>
          <w:bottom w:space="0" w:sz="0" w:val="nil"/>
          <w:right w:space="0" w:sz="0" w:val="nil"/>
          <w:between w:space="0" w:sz="0" w:val="nil"/>
        </w:pBdr>
        <w:ind w:left="714" w:hanging="35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Przegląd i edycja danych gromadzonych w Tabeli Monitorującej: </w:t>
      </w:r>
      <w:r w:rsidDel="00000000" w:rsidR="00000000" w:rsidRPr="00000000">
        <w:rPr>
          <w:rFonts w:ascii="Times New Roman" w:cs="Times New Roman" w:eastAsia="Times New Roman" w:hAnsi="Times New Roman"/>
          <w:sz w:val="24"/>
          <w:szCs w:val="24"/>
          <w:rtl w:val="0"/>
        </w:rPr>
        <w:t xml:space="preserve">Możliwość przeglądania, edytowania i usuwania danych w systemie, w tym zatwierdzania lub odrzucania zmian dokonanych przez użytkowników.</w:t>
      </w:r>
    </w:p>
    <w:p w:rsidR="00000000" w:rsidDel="00000000" w:rsidP="00000000" w:rsidRDefault="00000000" w:rsidRPr="00000000" w14:paraId="0000024C">
      <w:pPr>
        <w:numPr>
          <w:ilvl w:val="0"/>
          <w:numId w:val="1"/>
        </w:numPr>
        <w:pBdr>
          <w:top w:space="0" w:sz="0" w:val="nil"/>
          <w:left w:space="0" w:sz="0" w:val="nil"/>
          <w:bottom w:space="0" w:sz="0" w:val="nil"/>
          <w:right w:space="0" w:sz="0" w:val="nil"/>
          <w:between w:space="0" w:sz="0" w:val="nil"/>
        </w:pBdr>
        <w:spacing w:after="200" w:lineRule="auto"/>
        <w:ind w:left="714" w:hanging="35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Narzędzia do rozwiązywania problemów: </w:t>
      </w:r>
      <w:r w:rsidDel="00000000" w:rsidR="00000000" w:rsidRPr="00000000">
        <w:rPr>
          <w:rFonts w:ascii="Times New Roman" w:cs="Times New Roman" w:eastAsia="Times New Roman" w:hAnsi="Times New Roman"/>
          <w:sz w:val="24"/>
          <w:szCs w:val="24"/>
          <w:rtl w:val="0"/>
        </w:rPr>
        <w:t xml:space="preserve">Dostęp do logów systemowych, które pomogą w diagnozowaniu problemów technicznych oraz monitorowaniu działania aplikacji. Narzędzia do testowania integracji z zewnętrznymi usługami i API, co pozwoli na szybkie wykrywanie i rozwiązywanie problemów z synchronizacją danych.</w:t>
      </w:r>
    </w:p>
    <w:p w:rsidR="00000000" w:rsidDel="00000000" w:rsidP="00000000" w:rsidRDefault="00000000" w:rsidRPr="00000000" w14:paraId="0000024D">
      <w:pPr>
        <w:pStyle w:val="Heading4"/>
        <w:numPr>
          <w:ilvl w:val="3"/>
          <w:numId w:val="22"/>
        </w:numPr>
        <w:pBdr>
          <w:top w:space="0" w:sz="0" w:val="nil"/>
          <w:left w:space="0" w:sz="0" w:val="nil"/>
          <w:bottom w:space="0" w:sz="0" w:val="nil"/>
          <w:right w:space="0" w:sz="0" w:val="nil"/>
          <w:between w:space="0" w:sz="0" w:val="nil"/>
        </w:pBdr>
        <w:ind w:left="708" w:hanging="141"/>
        <w:rPr>
          <w:color w:val="000000"/>
        </w:rPr>
      </w:pPr>
      <w:bookmarkStart w:colFirst="0" w:colLast="0" w:name="_heading=h.2zbgiuw" w:id="56"/>
      <w:bookmarkEnd w:id="56"/>
      <w:r w:rsidDel="00000000" w:rsidR="00000000" w:rsidRPr="00000000">
        <w:rPr>
          <w:color w:val="000000"/>
          <w:rtl w:val="0"/>
        </w:rPr>
        <w:t xml:space="preserve">Nawigacja</w:t>
      </w:r>
    </w:p>
    <w:p w:rsidR="00000000" w:rsidDel="00000000" w:rsidP="00000000" w:rsidRDefault="00000000" w:rsidRPr="00000000" w14:paraId="0000024E">
      <w:pPr>
        <w:numPr>
          <w:ilvl w:val="0"/>
          <w:numId w:val="1"/>
        </w:numPr>
        <w:pBdr>
          <w:top w:space="0" w:sz="0" w:val="nil"/>
          <w:left w:space="0" w:sz="0" w:val="nil"/>
          <w:bottom w:space="0" w:sz="0" w:val="nil"/>
          <w:right w:space="0" w:sz="0" w:val="nil"/>
          <w:between w:space="0" w:sz="0" w:val="nil"/>
        </w:pBdr>
        <w:ind w:left="714" w:hanging="35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Menu nawigacyjne: </w:t>
      </w:r>
      <w:r w:rsidDel="00000000" w:rsidR="00000000" w:rsidRPr="00000000">
        <w:rPr>
          <w:rFonts w:ascii="Times New Roman" w:cs="Times New Roman" w:eastAsia="Times New Roman" w:hAnsi="Times New Roman"/>
          <w:sz w:val="24"/>
          <w:szCs w:val="24"/>
          <w:rtl w:val="0"/>
        </w:rPr>
        <w:t xml:space="preserve">Tabela Monitorująca będzie posiadać intuicyjne menu nawigacyjne, które pozwoli użytkownikom łatwo przechodzić między różnymi sekcjami i funkcjami narzędzia.</w:t>
      </w:r>
    </w:p>
    <w:p w:rsidR="00000000" w:rsidDel="00000000" w:rsidP="00000000" w:rsidRDefault="00000000" w:rsidRPr="00000000" w14:paraId="0000024F">
      <w:pPr>
        <w:numPr>
          <w:ilvl w:val="0"/>
          <w:numId w:val="1"/>
        </w:numPr>
        <w:pBdr>
          <w:top w:space="0" w:sz="0" w:val="nil"/>
          <w:left w:space="0" w:sz="0" w:val="nil"/>
          <w:bottom w:space="0" w:sz="0" w:val="nil"/>
          <w:right w:space="0" w:sz="0" w:val="nil"/>
          <w:between w:space="0" w:sz="0" w:val="nil"/>
        </w:pBdr>
        <w:spacing w:after="200" w:lineRule="auto"/>
        <w:ind w:left="714" w:hanging="35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Breadcrumbs: </w:t>
      </w:r>
      <w:r w:rsidDel="00000000" w:rsidR="00000000" w:rsidRPr="00000000">
        <w:rPr>
          <w:rFonts w:ascii="Times New Roman" w:cs="Times New Roman" w:eastAsia="Times New Roman" w:hAnsi="Times New Roman"/>
          <w:sz w:val="24"/>
          <w:szCs w:val="24"/>
          <w:rtl w:val="0"/>
        </w:rPr>
        <w:t xml:space="preserve">System breadcrumbs (okruszków) będzie pomagał użytkownikom zorientować się, w której części narzędzia się znajdują, oraz umożliwi szybki powrót do poprzednich sekcji.</w:t>
      </w:r>
    </w:p>
    <w:p w:rsidR="00000000" w:rsidDel="00000000" w:rsidP="00000000" w:rsidRDefault="00000000" w:rsidRPr="00000000" w14:paraId="00000250">
      <w:pPr>
        <w:pStyle w:val="Heading4"/>
        <w:numPr>
          <w:ilvl w:val="3"/>
          <w:numId w:val="22"/>
        </w:numPr>
        <w:pBdr>
          <w:top w:space="0" w:sz="0" w:val="nil"/>
          <w:left w:space="0" w:sz="0" w:val="nil"/>
          <w:bottom w:space="0" w:sz="0" w:val="nil"/>
          <w:right w:space="0" w:sz="0" w:val="nil"/>
          <w:between w:space="0" w:sz="0" w:val="nil"/>
        </w:pBdr>
        <w:ind w:left="708" w:hanging="141"/>
        <w:rPr>
          <w:color w:val="000000"/>
        </w:rPr>
      </w:pPr>
      <w:bookmarkStart w:colFirst="0" w:colLast="0" w:name="_heading=h.1egqt2p" w:id="57"/>
      <w:bookmarkEnd w:id="57"/>
      <w:r w:rsidDel="00000000" w:rsidR="00000000" w:rsidRPr="00000000">
        <w:rPr>
          <w:color w:val="000000"/>
          <w:rtl w:val="0"/>
        </w:rPr>
        <w:t xml:space="preserve">Personalizacja</w:t>
      </w:r>
    </w:p>
    <w:p w:rsidR="00000000" w:rsidDel="00000000" w:rsidP="00000000" w:rsidRDefault="00000000" w:rsidRPr="00000000" w14:paraId="00000251">
      <w:pPr>
        <w:numPr>
          <w:ilvl w:val="0"/>
          <w:numId w:val="1"/>
        </w:numPr>
        <w:pBdr>
          <w:top w:space="0" w:sz="0" w:val="nil"/>
          <w:left w:space="0" w:sz="0" w:val="nil"/>
          <w:bottom w:space="0" w:sz="0" w:val="nil"/>
          <w:right w:space="0" w:sz="0" w:val="nil"/>
          <w:between w:space="0" w:sz="0" w:val="nil"/>
        </w:pBdr>
        <w:ind w:left="714" w:hanging="35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Ustawienia użytkownika: </w:t>
      </w:r>
      <w:r w:rsidDel="00000000" w:rsidR="00000000" w:rsidRPr="00000000">
        <w:rPr>
          <w:rFonts w:ascii="Times New Roman" w:cs="Times New Roman" w:eastAsia="Times New Roman" w:hAnsi="Times New Roman"/>
          <w:sz w:val="24"/>
          <w:szCs w:val="24"/>
          <w:rtl w:val="0"/>
        </w:rPr>
        <w:t xml:space="preserve">Użytkownicy będą mieli możliwość personalizacji interfejsu, np. wybór preferowanego motywu kolorystycznego, układu tabel, widocznych kolumn czy układu widżetów na dashboardzie.</w:t>
      </w:r>
    </w:p>
    <w:p w:rsidR="00000000" w:rsidDel="00000000" w:rsidP="00000000" w:rsidRDefault="00000000" w:rsidRPr="00000000" w14:paraId="00000252">
      <w:pPr>
        <w:numPr>
          <w:ilvl w:val="0"/>
          <w:numId w:val="1"/>
        </w:numPr>
        <w:pBdr>
          <w:top w:space="0" w:sz="0" w:val="nil"/>
          <w:left w:space="0" w:sz="0" w:val="nil"/>
          <w:bottom w:space="0" w:sz="0" w:val="nil"/>
          <w:right w:space="0" w:sz="0" w:val="nil"/>
          <w:between w:space="0" w:sz="0" w:val="nil"/>
        </w:pBdr>
        <w:spacing w:after="200" w:lineRule="auto"/>
        <w:ind w:left="714" w:hanging="35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Zapisane widoki: </w:t>
      </w:r>
      <w:r w:rsidDel="00000000" w:rsidR="00000000" w:rsidRPr="00000000">
        <w:rPr>
          <w:rFonts w:ascii="Times New Roman" w:cs="Times New Roman" w:eastAsia="Times New Roman" w:hAnsi="Times New Roman"/>
          <w:sz w:val="24"/>
          <w:szCs w:val="24"/>
          <w:rtl w:val="0"/>
        </w:rPr>
        <w:t xml:space="preserve">Użytkownicy będą mogli zapisywać swoje ulubione widoki i ustawienia filtrów, aby szybko do nich wracać w przyszłości.</w:t>
      </w:r>
    </w:p>
    <w:p w:rsidR="00000000" w:rsidDel="00000000" w:rsidP="00000000" w:rsidRDefault="00000000" w:rsidRPr="00000000" w14:paraId="00000253">
      <w:pPr>
        <w:pStyle w:val="Heading3"/>
        <w:numPr>
          <w:ilvl w:val="2"/>
          <w:numId w:val="22"/>
        </w:numPr>
        <w:ind w:left="566" w:hanging="141"/>
        <w:rPr/>
      </w:pPr>
      <w:bookmarkStart w:colFirst="0" w:colLast="0" w:name="_heading=h.3ygebqi" w:id="58"/>
      <w:bookmarkEnd w:id="58"/>
      <w:r w:rsidDel="00000000" w:rsidR="00000000" w:rsidRPr="00000000">
        <w:rPr>
          <w:rtl w:val="0"/>
        </w:rPr>
        <w:t xml:space="preserve">Dodatkowe funkcjonalności (opcjonalne)</w:t>
      </w:r>
    </w:p>
    <w:p w:rsidR="00000000" w:rsidDel="00000000" w:rsidP="00000000" w:rsidRDefault="00000000" w:rsidRPr="00000000" w14:paraId="00000254">
      <w:pPr>
        <w:pStyle w:val="Heading4"/>
        <w:numPr>
          <w:ilvl w:val="3"/>
          <w:numId w:val="22"/>
        </w:numPr>
        <w:pBdr>
          <w:top w:space="0" w:sz="0" w:val="nil"/>
          <w:left w:space="0" w:sz="0" w:val="nil"/>
          <w:bottom w:space="0" w:sz="0" w:val="nil"/>
          <w:right w:space="0" w:sz="0" w:val="nil"/>
          <w:between w:space="0" w:sz="0" w:val="nil"/>
        </w:pBdr>
        <w:ind w:left="708" w:hanging="141"/>
        <w:rPr/>
      </w:pPr>
      <w:bookmarkStart w:colFirst="0" w:colLast="0" w:name="_heading=h.2dlolyb" w:id="59"/>
      <w:bookmarkEnd w:id="59"/>
      <w:r w:rsidDel="00000000" w:rsidR="00000000" w:rsidRPr="00000000">
        <w:rPr>
          <w:rtl w:val="0"/>
        </w:rPr>
        <w:t xml:space="preserve">Dashboardy i widżety</w:t>
      </w:r>
    </w:p>
    <w:p w:rsidR="00000000" w:rsidDel="00000000" w:rsidP="00000000" w:rsidRDefault="00000000" w:rsidRPr="00000000" w14:paraId="00000255">
      <w:pPr>
        <w:numPr>
          <w:ilvl w:val="0"/>
          <w:numId w:val="1"/>
        </w:numPr>
        <w:pBdr>
          <w:top w:space="0" w:sz="0" w:val="nil"/>
          <w:left w:space="0" w:sz="0" w:val="nil"/>
          <w:bottom w:space="0" w:sz="0" w:val="nil"/>
          <w:right w:space="0" w:sz="0" w:val="nil"/>
          <w:between w:space="0" w:sz="0" w:val="nil"/>
        </w:pBdr>
        <w:ind w:left="714" w:hanging="35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Strona główna aplikacji: </w:t>
      </w:r>
      <w:r w:rsidDel="00000000" w:rsidR="00000000" w:rsidRPr="00000000">
        <w:rPr>
          <w:rFonts w:ascii="Times New Roman" w:cs="Times New Roman" w:eastAsia="Times New Roman" w:hAnsi="Times New Roman"/>
          <w:sz w:val="24"/>
          <w:szCs w:val="24"/>
          <w:rtl w:val="0"/>
        </w:rPr>
        <w:t xml:space="preserve">Narzędzie będzie miało stronę główną, która wyświetla najważniejsze informacje w formie interaktywnych dashboardów.</w:t>
      </w:r>
    </w:p>
    <w:p w:rsidR="00000000" w:rsidDel="00000000" w:rsidP="00000000" w:rsidRDefault="00000000" w:rsidRPr="00000000" w14:paraId="00000256">
      <w:pPr>
        <w:numPr>
          <w:ilvl w:val="0"/>
          <w:numId w:val="1"/>
        </w:numPr>
        <w:pBdr>
          <w:top w:space="0" w:sz="0" w:val="nil"/>
          <w:left w:space="0" w:sz="0" w:val="nil"/>
          <w:bottom w:space="0" w:sz="0" w:val="nil"/>
          <w:right w:space="0" w:sz="0" w:val="nil"/>
          <w:between w:space="0" w:sz="0" w:val="nil"/>
        </w:pBdr>
        <w:ind w:left="714" w:hanging="35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Konfigurowalne widżety:</w:t>
      </w:r>
      <w:r w:rsidDel="00000000" w:rsidR="00000000" w:rsidRPr="00000000">
        <w:rPr>
          <w:rFonts w:ascii="Times New Roman" w:cs="Times New Roman" w:eastAsia="Times New Roman" w:hAnsi="Times New Roman"/>
          <w:sz w:val="24"/>
          <w:szCs w:val="24"/>
          <w:rtl w:val="0"/>
        </w:rPr>
        <w:t xml:space="preserve"> Użytkownicy będą mogli dostosować widżety na swoim dashboardzie, wybierając te, które są dla nich najważniejsze (np. wykresy, tabele).</w:t>
      </w:r>
    </w:p>
    <w:p w:rsidR="00000000" w:rsidDel="00000000" w:rsidP="00000000" w:rsidRDefault="00000000" w:rsidRPr="00000000" w14:paraId="00000257">
      <w:pPr>
        <w:numPr>
          <w:ilvl w:val="0"/>
          <w:numId w:val="1"/>
        </w:numPr>
        <w:pBdr>
          <w:top w:space="0" w:sz="0" w:val="nil"/>
          <w:left w:space="0" w:sz="0" w:val="nil"/>
          <w:bottom w:space="0" w:sz="0" w:val="nil"/>
          <w:right w:space="0" w:sz="0" w:val="nil"/>
          <w:between w:space="0" w:sz="0" w:val="nil"/>
        </w:pBdr>
        <w:spacing w:after="200" w:lineRule="auto"/>
        <w:ind w:left="714" w:hanging="357"/>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Aktualizacje w czasie rzeczywistym: </w:t>
      </w:r>
      <w:r w:rsidDel="00000000" w:rsidR="00000000" w:rsidRPr="00000000">
        <w:rPr>
          <w:rFonts w:ascii="Times New Roman" w:cs="Times New Roman" w:eastAsia="Times New Roman" w:hAnsi="Times New Roman"/>
          <w:sz w:val="24"/>
          <w:szCs w:val="24"/>
          <w:rtl w:val="0"/>
        </w:rPr>
        <w:t xml:space="preserve">Dashboardy będą automatycznie aktualizowane w czasie rzeczywistym, pokazując najnowsze dane.</w:t>
      </w:r>
      <w:r w:rsidDel="00000000" w:rsidR="00000000" w:rsidRPr="00000000">
        <w:rPr>
          <w:rtl w:val="0"/>
        </w:rPr>
      </w:r>
    </w:p>
    <w:p w:rsidR="00000000" w:rsidDel="00000000" w:rsidP="00000000" w:rsidRDefault="00000000" w:rsidRPr="00000000" w14:paraId="00000258">
      <w:pPr>
        <w:pStyle w:val="Heading4"/>
        <w:numPr>
          <w:ilvl w:val="3"/>
          <w:numId w:val="22"/>
        </w:numPr>
        <w:pBdr>
          <w:top w:space="0" w:sz="0" w:val="nil"/>
          <w:left w:space="0" w:sz="0" w:val="nil"/>
          <w:bottom w:space="0" w:sz="0" w:val="nil"/>
          <w:right w:space="0" w:sz="0" w:val="nil"/>
          <w:between w:space="0" w:sz="0" w:val="nil"/>
        </w:pBdr>
        <w:ind w:left="708" w:hanging="141"/>
        <w:rPr/>
      </w:pPr>
      <w:bookmarkStart w:colFirst="0" w:colLast="0" w:name="_heading=h.sqyw64" w:id="60"/>
      <w:bookmarkEnd w:id="60"/>
      <w:r w:rsidDel="00000000" w:rsidR="00000000" w:rsidRPr="00000000">
        <w:rPr>
          <w:rtl w:val="0"/>
        </w:rPr>
        <w:t xml:space="preserve">Konfigurowalne alerty</w:t>
      </w:r>
    </w:p>
    <w:p w:rsidR="00000000" w:rsidDel="00000000" w:rsidP="00000000" w:rsidRDefault="00000000" w:rsidRPr="00000000" w14:paraId="00000259">
      <w:pPr>
        <w:numPr>
          <w:ilvl w:val="0"/>
          <w:numId w:val="1"/>
        </w:numPr>
        <w:pBdr>
          <w:top w:space="0" w:sz="0" w:val="nil"/>
          <w:left w:space="0" w:sz="0" w:val="nil"/>
          <w:bottom w:space="0" w:sz="0" w:val="nil"/>
          <w:right w:space="0" w:sz="0" w:val="nil"/>
          <w:between w:space="0" w:sz="0" w:val="nil"/>
        </w:pBdr>
        <w:spacing w:after="200" w:lineRule="auto"/>
        <w:ind w:left="714" w:hanging="357"/>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Konfigurowalne alerty: </w:t>
      </w:r>
      <w:r w:rsidDel="00000000" w:rsidR="00000000" w:rsidRPr="00000000">
        <w:rPr>
          <w:rFonts w:ascii="Times New Roman" w:cs="Times New Roman" w:eastAsia="Times New Roman" w:hAnsi="Times New Roman"/>
          <w:sz w:val="24"/>
          <w:szCs w:val="24"/>
          <w:rtl w:val="0"/>
        </w:rPr>
        <w:t xml:space="preserve">Użytkownicy będą mogli skonfigurować alerty, aby otrzymywać powiadomienia o zdarzeniach spełniających określone kryteria (np. osiągnięcie określonego progu wartości w danych).</w:t>
      </w:r>
      <w:r w:rsidDel="00000000" w:rsidR="00000000" w:rsidRPr="00000000">
        <w:rPr>
          <w:rtl w:val="0"/>
        </w:rPr>
      </w:r>
    </w:p>
    <w:p w:rsidR="00000000" w:rsidDel="00000000" w:rsidP="00000000" w:rsidRDefault="00000000" w:rsidRPr="00000000" w14:paraId="0000025A">
      <w:pPr>
        <w:pStyle w:val="Heading4"/>
        <w:numPr>
          <w:ilvl w:val="3"/>
          <w:numId w:val="22"/>
        </w:numPr>
        <w:pBdr>
          <w:top w:space="0" w:sz="0" w:val="nil"/>
          <w:left w:space="0" w:sz="0" w:val="nil"/>
          <w:bottom w:space="0" w:sz="0" w:val="nil"/>
          <w:right w:space="0" w:sz="0" w:val="nil"/>
          <w:between w:space="0" w:sz="0" w:val="nil"/>
        </w:pBdr>
        <w:ind w:left="708" w:hanging="141"/>
        <w:rPr/>
      </w:pPr>
      <w:bookmarkStart w:colFirst="0" w:colLast="0" w:name="_heading=h.3cqmetx" w:id="61"/>
      <w:bookmarkEnd w:id="61"/>
      <w:r w:rsidDel="00000000" w:rsidR="00000000" w:rsidRPr="00000000">
        <w:rPr>
          <w:rtl w:val="0"/>
        </w:rPr>
        <w:t xml:space="preserve">Integracja z narzędziami zewnętrznymi</w:t>
      </w:r>
    </w:p>
    <w:p w:rsidR="00000000" w:rsidDel="00000000" w:rsidP="00000000" w:rsidRDefault="00000000" w:rsidRPr="00000000" w14:paraId="0000025B">
      <w:pPr>
        <w:numPr>
          <w:ilvl w:val="0"/>
          <w:numId w:val="1"/>
        </w:numPr>
        <w:pBdr>
          <w:top w:space="0" w:sz="0" w:val="nil"/>
          <w:left w:space="0" w:sz="0" w:val="nil"/>
          <w:bottom w:space="0" w:sz="0" w:val="nil"/>
          <w:right w:space="0" w:sz="0" w:val="nil"/>
          <w:between w:space="0" w:sz="0" w:val="nil"/>
        </w:pBdr>
        <w:ind w:left="714" w:hanging="357"/>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API do eksportu danych: </w:t>
      </w:r>
      <w:r w:rsidDel="00000000" w:rsidR="00000000" w:rsidRPr="00000000">
        <w:rPr>
          <w:rFonts w:ascii="Times New Roman" w:cs="Times New Roman" w:eastAsia="Times New Roman" w:hAnsi="Times New Roman"/>
          <w:sz w:val="24"/>
          <w:szCs w:val="24"/>
          <w:rtl w:val="0"/>
        </w:rPr>
        <w:t xml:space="preserve">Stworzenie API, które umożliwi eksport danych do zewnętrznych narzędzi. </w:t>
      </w:r>
      <w:r w:rsidDel="00000000" w:rsidR="00000000" w:rsidRPr="00000000">
        <w:rPr>
          <w:rtl w:val="0"/>
        </w:rPr>
      </w:r>
    </w:p>
    <w:p w:rsidR="00000000" w:rsidDel="00000000" w:rsidP="00000000" w:rsidRDefault="00000000" w:rsidRPr="00000000" w14:paraId="0000025C">
      <w:pPr>
        <w:numPr>
          <w:ilvl w:val="0"/>
          <w:numId w:val="1"/>
        </w:numPr>
        <w:pBdr>
          <w:top w:space="0" w:sz="0" w:val="nil"/>
          <w:left w:space="0" w:sz="0" w:val="nil"/>
          <w:bottom w:space="0" w:sz="0" w:val="nil"/>
          <w:right w:space="0" w:sz="0" w:val="nil"/>
          <w:between w:space="0" w:sz="0" w:val="nil"/>
        </w:pBdr>
        <w:ind w:left="714" w:hanging="357"/>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Autoryzacja i uwierzytelnianie: </w:t>
      </w:r>
      <w:r w:rsidDel="00000000" w:rsidR="00000000" w:rsidRPr="00000000">
        <w:rPr>
          <w:rFonts w:ascii="Times New Roman" w:cs="Times New Roman" w:eastAsia="Times New Roman" w:hAnsi="Times New Roman"/>
          <w:sz w:val="24"/>
          <w:szCs w:val="24"/>
          <w:rtl w:val="0"/>
        </w:rPr>
        <w:t xml:space="preserve">API udostępniane przez aplikację będą zabezpieczone mechanizmami autoryzacji i uwierzytelniania, takimi jak OAuth, JWT (JSON Web Tokens), klucze API.</w:t>
      </w:r>
      <w:r w:rsidDel="00000000" w:rsidR="00000000" w:rsidRPr="00000000">
        <w:rPr>
          <w:rtl w:val="0"/>
        </w:rPr>
      </w:r>
    </w:p>
    <w:p w:rsidR="00000000" w:rsidDel="00000000" w:rsidP="00000000" w:rsidRDefault="00000000" w:rsidRPr="00000000" w14:paraId="0000025D">
      <w:pPr>
        <w:numPr>
          <w:ilvl w:val="0"/>
          <w:numId w:val="1"/>
        </w:numPr>
        <w:pBdr>
          <w:top w:space="0" w:sz="0" w:val="nil"/>
          <w:left w:space="0" w:sz="0" w:val="nil"/>
          <w:bottom w:space="0" w:sz="0" w:val="nil"/>
          <w:right w:space="0" w:sz="0" w:val="nil"/>
          <w:between w:space="0" w:sz="0" w:val="nil"/>
        </w:pBdr>
        <w:spacing w:after="200" w:lineRule="auto"/>
        <w:ind w:left="714" w:hanging="357"/>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Dokumentacja API: </w:t>
      </w:r>
      <w:r w:rsidDel="00000000" w:rsidR="00000000" w:rsidRPr="00000000">
        <w:rPr>
          <w:rFonts w:ascii="Times New Roman" w:cs="Times New Roman" w:eastAsia="Times New Roman" w:hAnsi="Times New Roman"/>
          <w:sz w:val="24"/>
          <w:szCs w:val="24"/>
          <w:rtl w:val="0"/>
        </w:rPr>
        <w:t xml:space="preserve">Pełna dokumentacja API udostępnianych przez aplikację, zawierająca opis endpointów, przykłady zapytań i odpowiedzi, wymagane parametry oraz mechanizmy autoryzacji.</w:t>
      </w:r>
      <w:r w:rsidDel="00000000" w:rsidR="00000000" w:rsidRPr="00000000">
        <w:rPr>
          <w:rtl w:val="0"/>
        </w:rPr>
      </w:r>
    </w:p>
    <w:p w:rsidR="00000000" w:rsidDel="00000000" w:rsidP="00000000" w:rsidRDefault="00000000" w:rsidRPr="00000000" w14:paraId="0000025E">
      <w:pPr>
        <w:numPr>
          <w:ilvl w:val="0"/>
          <w:numId w:val="1"/>
        </w:numPr>
        <w:pBdr>
          <w:top w:space="0" w:sz="0" w:val="nil"/>
          <w:left w:space="0" w:sz="0" w:val="nil"/>
          <w:bottom w:space="0" w:sz="0" w:val="nil"/>
          <w:right w:space="0" w:sz="0" w:val="nil"/>
          <w:between w:space="0" w:sz="0" w:val="nil"/>
        </w:pBdr>
        <w:spacing w:after="200" w:lineRule="auto"/>
        <w:ind w:left="714" w:hanging="357"/>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Wykorzystanie GraphQL: </w:t>
      </w:r>
      <w:r w:rsidDel="00000000" w:rsidR="00000000" w:rsidRPr="00000000">
        <w:rPr>
          <w:rFonts w:ascii="Times New Roman" w:cs="Times New Roman" w:eastAsia="Times New Roman" w:hAnsi="Times New Roman"/>
          <w:sz w:val="24"/>
          <w:szCs w:val="24"/>
          <w:rtl w:val="0"/>
        </w:rPr>
        <w:t xml:space="preserve">Narzędzie może korzystać z GraphQL, co pozwoli na bardziej elastyczne zapytania do innych źródeł danych IBE.</w:t>
      </w:r>
      <w:r w:rsidDel="00000000" w:rsidR="00000000" w:rsidRPr="00000000">
        <w:rPr>
          <w:rtl w:val="0"/>
        </w:rPr>
      </w:r>
    </w:p>
    <w:p w:rsidR="00000000" w:rsidDel="00000000" w:rsidP="00000000" w:rsidRDefault="00000000" w:rsidRPr="00000000" w14:paraId="0000025F">
      <w:pPr>
        <w:pStyle w:val="Heading2"/>
        <w:numPr>
          <w:ilvl w:val="1"/>
          <w:numId w:val="22"/>
        </w:numPr>
        <w:pBdr>
          <w:top w:space="0" w:sz="0" w:val="nil"/>
          <w:left w:space="0" w:sz="0" w:val="nil"/>
          <w:bottom w:space="0" w:sz="0" w:val="nil"/>
          <w:right w:space="0" w:sz="0" w:val="nil"/>
          <w:between w:space="0" w:sz="0" w:val="nil"/>
        </w:pBdr>
        <w:ind w:left="566" w:hanging="283"/>
        <w:rPr>
          <w:rFonts w:ascii="Times New Roman" w:cs="Times New Roman" w:eastAsia="Times New Roman" w:hAnsi="Times New Roman"/>
          <w:b w:val="1"/>
        </w:rPr>
      </w:pPr>
      <w:bookmarkStart w:colFirst="0" w:colLast="0" w:name="_heading=h.1rvwp1q" w:id="62"/>
      <w:bookmarkEnd w:id="62"/>
      <w:r w:rsidDel="00000000" w:rsidR="00000000" w:rsidRPr="00000000">
        <w:rPr>
          <w:rFonts w:ascii="Times New Roman" w:cs="Times New Roman" w:eastAsia="Times New Roman" w:hAnsi="Times New Roman"/>
          <w:b w:val="1"/>
          <w:rtl w:val="0"/>
        </w:rPr>
        <w:t xml:space="preserve">Wymagania techniczne</w:t>
      </w:r>
    </w:p>
    <w:p w:rsidR="00000000" w:rsidDel="00000000" w:rsidP="00000000" w:rsidRDefault="00000000" w:rsidRPr="00000000" w14:paraId="00000260">
      <w:pPr>
        <w:numPr>
          <w:ilvl w:val="0"/>
          <w:numId w:val="6"/>
        </w:numPr>
        <w:pBdr>
          <w:top w:space="0" w:sz="0" w:val="nil"/>
          <w:left w:space="0" w:sz="0" w:val="nil"/>
          <w:bottom w:space="0" w:sz="0" w:val="nil"/>
          <w:right w:space="0" w:sz="0" w:val="nil"/>
          <w:between w:space="0" w:sz="0" w:val="nil"/>
        </w:pBdr>
        <w:spacing w:before="120" w:lineRule="auto"/>
        <w:ind w:left="425" w:hanging="42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Frontend: HTML5, CSS3, JavaScript (framework np. Laravel, React, Angular, Vue.js).</w:t>
      </w:r>
    </w:p>
    <w:p w:rsidR="00000000" w:rsidDel="00000000" w:rsidP="00000000" w:rsidRDefault="00000000" w:rsidRPr="00000000" w14:paraId="00000261">
      <w:pPr>
        <w:numPr>
          <w:ilvl w:val="0"/>
          <w:numId w:val="6"/>
        </w:numPr>
        <w:pBdr>
          <w:top w:space="0" w:sz="0" w:val="nil"/>
          <w:left w:space="0" w:sz="0" w:val="nil"/>
          <w:bottom w:space="0" w:sz="0" w:val="nil"/>
          <w:right w:space="0" w:sz="0" w:val="nil"/>
          <w:between w:space="0" w:sz="0" w:val="nil"/>
        </w:pBdr>
        <w:ind w:left="425" w:hanging="42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Backend: Node.js, PHP(od 8.0 wzwyż), Python, Ruby (framework np. Express, Django, Rails).</w:t>
      </w:r>
    </w:p>
    <w:p w:rsidR="00000000" w:rsidDel="00000000" w:rsidP="00000000" w:rsidRDefault="00000000" w:rsidRPr="00000000" w14:paraId="00000262">
      <w:pPr>
        <w:numPr>
          <w:ilvl w:val="0"/>
          <w:numId w:val="6"/>
        </w:numPr>
        <w:pBdr>
          <w:top w:space="0" w:sz="0" w:val="nil"/>
          <w:left w:space="0" w:sz="0" w:val="nil"/>
          <w:bottom w:space="0" w:sz="0" w:val="nil"/>
          <w:right w:space="0" w:sz="0" w:val="nil"/>
          <w:between w:space="0" w:sz="0" w:val="nil"/>
        </w:pBdr>
        <w:ind w:left="425" w:hanging="42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Baza danych: PostgreSQL, MySQL, MongoDB.</w:t>
      </w:r>
    </w:p>
    <w:p w:rsidR="00000000" w:rsidDel="00000000" w:rsidP="00000000" w:rsidRDefault="00000000" w:rsidRPr="00000000" w14:paraId="00000263">
      <w:pPr>
        <w:numPr>
          <w:ilvl w:val="0"/>
          <w:numId w:val="6"/>
        </w:numPr>
        <w:pBdr>
          <w:top w:space="0" w:sz="0" w:val="nil"/>
          <w:left w:space="0" w:sz="0" w:val="nil"/>
          <w:bottom w:space="0" w:sz="0" w:val="nil"/>
          <w:right w:space="0" w:sz="0" w:val="nil"/>
          <w:between w:space="0" w:sz="0" w:val="nil"/>
        </w:pBdr>
        <w:ind w:left="425" w:hanging="42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API: RESTful lub opcjonalnie GraphQL.</w:t>
      </w:r>
    </w:p>
    <w:p w:rsidR="00000000" w:rsidDel="00000000" w:rsidP="00000000" w:rsidRDefault="00000000" w:rsidRPr="00000000" w14:paraId="00000264">
      <w:pPr>
        <w:numPr>
          <w:ilvl w:val="0"/>
          <w:numId w:val="6"/>
        </w:numPr>
        <w:pBdr>
          <w:top w:space="0" w:sz="0" w:val="nil"/>
          <w:left w:space="0" w:sz="0" w:val="nil"/>
          <w:bottom w:space="0" w:sz="0" w:val="nil"/>
          <w:right w:space="0" w:sz="0" w:val="nil"/>
          <w:between w:space="0" w:sz="0" w:val="nil"/>
        </w:pBdr>
        <w:ind w:left="425" w:hanging="42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Środowisko Serwerowe: Systemy z rodziny Linux (debian, ubuntu itd.).</w:t>
      </w:r>
    </w:p>
    <w:p w:rsidR="00000000" w:rsidDel="00000000" w:rsidP="00000000" w:rsidRDefault="00000000" w:rsidRPr="00000000" w14:paraId="00000265">
      <w:pPr>
        <w:numPr>
          <w:ilvl w:val="0"/>
          <w:numId w:val="6"/>
        </w:numPr>
        <w:pBdr>
          <w:top w:space="0" w:sz="0" w:val="nil"/>
          <w:left w:space="0" w:sz="0" w:val="nil"/>
          <w:bottom w:space="0" w:sz="0" w:val="nil"/>
          <w:right w:space="0" w:sz="0" w:val="nil"/>
          <w:between w:space="0" w:sz="0" w:val="nil"/>
        </w:pBdr>
        <w:spacing w:after="200" w:lineRule="auto"/>
        <w:ind w:left="425" w:hanging="42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Wspierane Serwery HTTP/WWW: Apache2/Nginx</w:t>
      </w:r>
    </w:p>
    <w:p w:rsidR="00000000" w:rsidDel="00000000" w:rsidP="00000000" w:rsidRDefault="00000000" w:rsidRPr="00000000" w14:paraId="00000266">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Zamawiający dopuszcza możliwość wykorzystania również innych technologii niż wymienione powyżej. Zmiana technologii wymaga zgody Zamawiającego. </w:t>
      </w:r>
    </w:p>
    <w:p w:rsidR="00000000" w:rsidDel="00000000" w:rsidP="00000000" w:rsidRDefault="00000000" w:rsidRPr="00000000" w14:paraId="00000267">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Narzędzie musi zostać wykonane w technologii webowej, w której jedynym wymaganiem od użytkownika jest dostęp do Internetu oraz zainstalowana przeglądarka internetowa. Narzędzie ma poprawnie działać w pięciu najpopularniejszych rodzajach przeglądarek (Microsoft Edge, Firefox, Chrome, Safari, Opera) w najnowszych wersjach według stanu na dzień podpisania umowy.</w:t>
      </w:r>
    </w:p>
    <w:p w:rsidR="00000000" w:rsidDel="00000000" w:rsidP="00000000" w:rsidRDefault="00000000" w:rsidRPr="00000000" w14:paraId="00000268">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Narzędzie nie może wymagać instalacji na komputerze dodatkowego oprogramowania, dodatkowych rozszerzeń przeglądarki, ani wymagać posiadania zainstalowanych bibliotek języków, takich jak Java czy .NET. </w:t>
      </w:r>
    </w:p>
    <w:p w:rsidR="00000000" w:rsidDel="00000000" w:rsidP="00000000" w:rsidRDefault="00000000" w:rsidRPr="00000000" w14:paraId="00000269">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Narzędzie musi wykazywać się przejrzystością i zastosowaniem nowoczesnych rozwiązań po stronie klienta. Zamawiający musi wcześniej zaakceptować wybrane przez Wykonawcę biblioteki.</w:t>
      </w:r>
    </w:p>
    <w:p w:rsidR="00000000" w:rsidDel="00000000" w:rsidP="00000000" w:rsidRDefault="00000000" w:rsidRPr="00000000" w14:paraId="0000026A">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Wykonawca może stosować zewnętrzne biblioteki Opensource do wykonywania konkretnych czynności, nie będących kluczowymi dla funkcjonowania aplikacji. Zamawiający musi wcześniej zaakceptować wybrane rozwiązania. Wykonawca zobowiązuje się wówczas przekazać dokumentację dotyczącą tych bibliotek, zwłaszcza parametrów i funkcji, które zostały wykorzystane w narzędziu.</w:t>
      </w:r>
    </w:p>
    <w:p w:rsidR="00000000" w:rsidDel="00000000" w:rsidP="00000000" w:rsidRDefault="00000000" w:rsidRPr="00000000" w14:paraId="0000026B">
      <w:pPr>
        <w:spacing w:before="20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Wszystkie pliki narzędzia muszą znajdować się na serwerze Zamawiającego. Nie jest dopuszczalne wskazywanie odwołań do bibliotek umieszczonych na innych serwerach. Dołączane pliki muszą być zapisywane na dysku serwera i wyświetlane do pobrania w taki sposób, aby nie było możliwości pobrania ich bez uwierzytelnienia użytkownika (znając tylko adres URL pliku) i bez zarejestrowania pobrania pliku w logach.</w:t>
      </w:r>
    </w:p>
    <w:p w:rsidR="00000000" w:rsidDel="00000000" w:rsidP="00000000" w:rsidRDefault="00000000" w:rsidRPr="00000000" w14:paraId="0000026C">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Elementy dostępne dla użytkowników muszą uwzględniać wymagania opisane w załączniku “Wytyczne dla dostępności treści internetowych 2.1 stosowane dla stron internetowych i aplikacji mobilnych w zakresie dostępności dla osób niepełnosprawnych” do ustawy z dnia 4 kwietnia 2019 r. o dostępności cyfrowej stron internetowych i aplikacji mobilnych podmiotów publicznych (Dz.U. z 2023, poz. 1440, t.j.).</w:t>
      </w:r>
    </w:p>
    <w:p w:rsidR="00000000" w:rsidDel="00000000" w:rsidP="00000000" w:rsidRDefault="00000000" w:rsidRPr="00000000" w14:paraId="0000026D">
      <w:pPr>
        <w:pStyle w:val="Heading2"/>
        <w:numPr>
          <w:ilvl w:val="1"/>
          <w:numId w:val="22"/>
        </w:numPr>
        <w:pBdr>
          <w:top w:space="0" w:sz="0" w:val="nil"/>
          <w:left w:space="0" w:sz="0" w:val="nil"/>
          <w:bottom w:space="0" w:sz="0" w:val="nil"/>
          <w:right w:space="0" w:sz="0" w:val="nil"/>
          <w:between w:space="0" w:sz="0" w:val="nil"/>
        </w:pBdr>
        <w:ind w:left="566" w:hanging="283"/>
        <w:rPr>
          <w:rFonts w:ascii="Times New Roman" w:cs="Times New Roman" w:eastAsia="Times New Roman" w:hAnsi="Times New Roman"/>
          <w:b w:val="1"/>
        </w:rPr>
      </w:pPr>
      <w:bookmarkStart w:colFirst="0" w:colLast="0" w:name="_heading=h.4bvk7pj" w:id="63"/>
      <w:bookmarkEnd w:id="63"/>
      <w:r w:rsidDel="00000000" w:rsidR="00000000" w:rsidRPr="00000000">
        <w:rPr>
          <w:rFonts w:ascii="Times New Roman" w:cs="Times New Roman" w:eastAsia="Times New Roman" w:hAnsi="Times New Roman"/>
          <w:b w:val="1"/>
          <w:rtl w:val="0"/>
        </w:rPr>
        <w:t xml:space="preserve">Bezpieczeństwo</w:t>
      </w:r>
    </w:p>
    <w:p w:rsidR="00000000" w:rsidDel="00000000" w:rsidP="00000000" w:rsidRDefault="00000000" w:rsidRPr="00000000" w14:paraId="0000026E">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Komunikacja sieciowa musi być szyfrowana poprzez SSL i przesyłana protokołem HTTPS.</w:t>
      </w:r>
    </w:p>
    <w:p w:rsidR="00000000" w:rsidDel="00000000" w:rsidP="00000000" w:rsidRDefault="00000000" w:rsidRPr="00000000" w14:paraId="0000026F">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Narzędzie musi być odporne na popularne próby ataków, w szczególności z listy OWASP top 10 (</w:t>
      </w:r>
      <w:hyperlink r:id="rId10">
        <w:r w:rsidDel="00000000" w:rsidR="00000000" w:rsidRPr="00000000">
          <w:rPr>
            <w:rFonts w:ascii="Times New Roman" w:cs="Times New Roman" w:eastAsia="Times New Roman" w:hAnsi="Times New Roman"/>
            <w:sz w:val="24"/>
            <w:szCs w:val="24"/>
            <w:rtl w:val="0"/>
          </w:rPr>
          <w:t xml:space="preserve">https://owasp.org/www-project-top-ten/</w:t>
        </w:r>
      </w:hyperlink>
      <w:r w:rsidDel="00000000" w:rsidR="00000000" w:rsidRPr="00000000">
        <w:rPr>
          <w:rFonts w:ascii="Times New Roman" w:cs="Times New Roman" w:eastAsia="Times New Roman" w:hAnsi="Times New Roman"/>
          <w:sz w:val="24"/>
          <w:szCs w:val="24"/>
          <w:rtl w:val="0"/>
        </w:rPr>
        <w:t xml:space="preserve">), oraz m.in. próby wstrzyknięcia w przeglądarkę fragmentu kodu np. javascript, który może być uruchomiony w przeglądarce tzw. Cross-Site Scripting (XSS), próby przełamania mechanizmów uwierzytelniających (ataki słownikowe i siłowe na hasła, ataki z wykorzystaniem SQL Injection/Blind SQL Injection), próby nieautoryzowanego przerwania lub zakłócenia ciągłości działania (ataki Dos), podsłuchiwanie sesji i kradzież ciasteczek HTTP czy próby nieautoryzowanego przejęcia uprawnień.</w:t>
      </w:r>
    </w:p>
    <w:p w:rsidR="00000000" w:rsidDel="00000000" w:rsidP="00000000" w:rsidRDefault="00000000" w:rsidRPr="00000000" w14:paraId="00000270">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Narzędzie musi rejestrować wszystkie czynności wykonywane w narzędziu. System logów powinien być tak skonstruowany, aby żadne informacje nie były usuwane (usunięcie będzie realizowane jako ustawienie statusu rekordu na nieaktywny) przy jednoczesnym zachowaniu optymalizacji bazy danych i możliwości odzyskania danych w dowolnym czasie. Logi powinny rejestrować m.in.:</w:t>
      </w:r>
    </w:p>
    <w:p w:rsidR="00000000" w:rsidDel="00000000" w:rsidP="00000000" w:rsidRDefault="00000000" w:rsidRPr="00000000" w14:paraId="00000271">
      <w:pPr>
        <w:numPr>
          <w:ilvl w:val="0"/>
          <w:numId w:val="9"/>
        </w:numPr>
        <w:spacing w:before="20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wejścia do narzędzia przez użytkownika, w tym: ID sesji, IP, data i czas, rodzaj przeglądarki, systemu operacyjnego, model urządzenia w przypadku urządzenia mobilnego, rozdzielczość ekranu, status (zalogowany / niezalogowany), rodzaj błędu,</w:t>
      </w:r>
      <w:r w:rsidDel="00000000" w:rsidR="00000000" w:rsidRPr="00000000">
        <w:rPr>
          <w:rtl w:val="0"/>
        </w:rPr>
      </w:r>
    </w:p>
    <w:p w:rsidR="00000000" w:rsidDel="00000000" w:rsidP="00000000" w:rsidRDefault="00000000" w:rsidRPr="00000000" w14:paraId="00000272">
      <w:pPr>
        <w:numPr>
          <w:ilvl w:val="0"/>
          <w:numId w:val="9"/>
        </w:numPr>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wyświetlenia stron / dostęp do danych (np. wygenerowanie plików, pobieranie danych z API), w tym: ID sesji, data i czas wejścia na stronę, data i czas opuszczenia strony, zakres danych, do jakich był dostęp,</w:t>
      </w:r>
      <w:r w:rsidDel="00000000" w:rsidR="00000000" w:rsidRPr="00000000">
        <w:rPr>
          <w:rtl w:val="0"/>
        </w:rPr>
      </w:r>
    </w:p>
    <w:p w:rsidR="00000000" w:rsidDel="00000000" w:rsidP="00000000" w:rsidRDefault="00000000" w:rsidRPr="00000000" w14:paraId="00000273">
      <w:pPr>
        <w:numPr>
          <w:ilvl w:val="0"/>
          <w:numId w:val="9"/>
        </w:numPr>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edycję / modyfikację danych, np. podczas importu danych lub np. podczas zmian konfiguracji (ID sesji, tabelę, ID modyfikowanego rekordu, wartości pierwotne, wartości zmodyfikowane, data i czas modyfikacji, bieżąca rola). Poprzednie (historyczne) wartości pola powinny być możliwe do wyświetlania przy tym polu, po wybraniu przycisku, wraz z datą ich obowiązywania,</w:t>
      </w:r>
      <w:r w:rsidDel="00000000" w:rsidR="00000000" w:rsidRPr="00000000">
        <w:rPr>
          <w:rtl w:val="0"/>
        </w:rPr>
      </w:r>
    </w:p>
    <w:p w:rsidR="00000000" w:rsidDel="00000000" w:rsidP="00000000" w:rsidRDefault="00000000" w:rsidRPr="00000000" w14:paraId="00000274">
      <w:pPr>
        <w:numPr>
          <w:ilvl w:val="0"/>
          <w:numId w:val="9"/>
        </w:numPr>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czynności wykonane w narzędziu, tzw. „kliknięcia” (id sesji, id rekordu, czynność, datę i czas wykonania akcji).</w:t>
      </w:r>
      <w:r w:rsidDel="00000000" w:rsidR="00000000" w:rsidRPr="00000000">
        <w:rPr>
          <w:rtl w:val="0"/>
        </w:rPr>
      </w:r>
    </w:p>
    <w:p w:rsidR="00000000" w:rsidDel="00000000" w:rsidP="00000000" w:rsidRDefault="00000000" w:rsidRPr="00000000" w14:paraId="00000275">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Sugerowane jest rozdzielenie logów na powyższe grupy.</w:t>
      </w:r>
    </w:p>
    <w:p w:rsidR="00000000" w:rsidDel="00000000" w:rsidP="00000000" w:rsidRDefault="00000000" w:rsidRPr="00000000" w14:paraId="00000276">
      <w:pPr>
        <w:spacing w:after="20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 najmniej niektóre dane w bazie danych muszą być szyfrowane. Szyfrowaniu powinny podlegać w szczególności dane osobowe użytkowników. Zamawiający zakłada, że w toku prac nad narzędziem może pojawić się konieczność szyfrowania również innych danych - decyzje w tym zakresie będą podejmowane w uzgodnieniu z Wykonawcą.</w:t>
      </w:r>
    </w:p>
    <w:p w:rsidR="00000000" w:rsidDel="00000000" w:rsidP="00000000" w:rsidRDefault="00000000" w:rsidRPr="00000000" w14:paraId="00000277">
      <w:pPr>
        <w:spacing w:after="20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Dane użytkownika muszą być szyfrowane wyłącznie jego kluczem. Może to być np. klucz symetryczny związany z hasłem użytkownika (np. hash hasła). Założeniem jest, by bez tego klucza (czyli znajomości hasła) dane były bezwartościowe dla osób trzecich. Ponadto musi istnieć duplikat tych danych szyfrowany kluczem publicznym administracyjnym. Klucz prywatny administracyjny będzie użyty w przypadku konieczności odzyskania hasła użytkownika </w:t>
      </w:r>
      <w:r w:rsidDel="00000000" w:rsidR="00000000" w:rsidRPr="00000000">
        <w:rPr>
          <w:rFonts w:ascii="Times New Roman" w:cs="Times New Roman" w:eastAsia="Times New Roman" w:hAnsi="Times New Roman"/>
          <w:sz w:val="24"/>
          <w:szCs w:val="24"/>
          <w:highlight w:val="white"/>
          <w:rtl w:val="0"/>
        </w:rPr>
        <w:t xml:space="preserve">oraz do normalnej pracy z tymi danymi </w:t>
      </w:r>
      <w:r w:rsidDel="00000000" w:rsidR="00000000" w:rsidRPr="00000000">
        <w:rPr>
          <w:rFonts w:ascii="Times New Roman" w:cs="Times New Roman" w:eastAsia="Times New Roman" w:hAnsi="Times New Roman"/>
          <w:sz w:val="24"/>
          <w:szCs w:val="24"/>
          <w:rtl w:val="0"/>
        </w:rPr>
        <w:t xml:space="preserve">przez użytkowników uprawnionych (pracownicy IBE). </w:t>
      </w:r>
    </w:p>
    <w:p w:rsidR="00000000" w:rsidDel="00000000" w:rsidP="00000000" w:rsidRDefault="00000000" w:rsidRPr="00000000" w14:paraId="00000278">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Zamawiający zakłada, że dostęp do narzędzia dla pracowników IBE będzie możliwy wyłącznie z wewnętrznej sieci Zamawiającego i za pośrednictwem VPN.</w:t>
      </w:r>
    </w:p>
    <w:p w:rsidR="00000000" w:rsidDel="00000000" w:rsidP="00000000" w:rsidRDefault="00000000" w:rsidRPr="00000000" w14:paraId="00000279">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Jeżeli nastąpił błąd w operacji lub pojawił się użytkownikowi obsłużony wyjątek, narzędzie powinno móc wysyłać powiadomienie na adres e-mail administratora. </w:t>
      </w:r>
    </w:p>
    <w:p w:rsidR="00000000" w:rsidDel="00000000" w:rsidP="00000000" w:rsidRDefault="00000000" w:rsidRPr="00000000" w14:paraId="0000027A">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Spełnianie przez dostarczone oprogramowanie wymagań w zakresie bezpieczeństwa zostanie sprawdzone za pomocą  testów bezpieczeństwa wykonanych przez firmę inną niż Wykonawca, wyodrębnioną w osobnym postępowaniu. Firma wyłoniona przez Zamawiającego potrzebuje od 11 do 20 dni od zlecenia testów do przekazania końcowego raportu. </w:t>
      </w:r>
      <w:r w:rsidDel="00000000" w:rsidR="00000000" w:rsidRPr="00000000">
        <w:rPr>
          <w:rFonts w:ascii="Times New Roman" w:cs="Times New Roman" w:eastAsia="Times New Roman" w:hAnsi="Times New Roman"/>
          <w:sz w:val="24"/>
          <w:szCs w:val="24"/>
          <w:rtl w:val="0"/>
        </w:rPr>
        <w:t xml:space="preserve">Testy bezpieczeństwa powinny zostać wykonane przed odbiorem narzędzia. Ze względu na ważne potrzeby Zamawiającego może on podjąć decyzje o wykonaniu testów po dokonaniu odbioru narzędzia. </w:t>
      </w:r>
      <w:r w:rsidDel="00000000" w:rsidR="00000000" w:rsidRPr="00000000">
        <w:rPr>
          <w:rFonts w:ascii="Times New Roman" w:cs="Times New Roman" w:eastAsia="Times New Roman" w:hAnsi="Times New Roman"/>
          <w:b w:val="1"/>
          <w:sz w:val="24"/>
          <w:szCs w:val="24"/>
          <w:rtl w:val="0"/>
        </w:rPr>
        <w:t xml:space="preserve">Wykonawca jest zobowiązany do poprawy błędów wskazanych w raporcie z testów na własny koszt. </w:t>
      </w:r>
      <w:r w:rsidDel="00000000" w:rsidR="00000000" w:rsidRPr="00000000">
        <w:rPr>
          <w:rtl w:val="0"/>
        </w:rPr>
      </w:r>
    </w:p>
    <w:p w:rsidR="00000000" w:rsidDel="00000000" w:rsidP="00000000" w:rsidRDefault="00000000" w:rsidRPr="00000000" w14:paraId="0000027B">
      <w:pPr>
        <w:pStyle w:val="Heading2"/>
        <w:numPr>
          <w:ilvl w:val="1"/>
          <w:numId w:val="22"/>
        </w:numPr>
        <w:pBdr>
          <w:top w:space="0" w:sz="0" w:val="nil"/>
          <w:left w:space="0" w:sz="0" w:val="nil"/>
          <w:bottom w:space="0" w:sz="0" w:val="nil"/>
          <w:right w:space="0" w:sz="0" w:val="nil"/>
          <w:between w:space="0" w:sz="0" w:val="nil"/>
        </w:pBdr>
        <w:ind w:left="566" w:hanging="283"/>
        <w:rPr>
          <w:rFonts w:ascii="Times New Roman" w:cs="Times New Roman" w:eastAsia="Times New Roman" w:hAnsi="Times New Roman"/>
          <w:b w:val="1"/>
        </w:rPr>
      </w:pPr>
      <w:bookmarkStart w:colFirst="0" w:colLast="0" w:name="_heading=h.2r0uhxc" w:id="64"/>
      <w:bookmarkEnd w:id="64"/>
      <w:r w:rsidDel="00000000" w:rsidR="00000000" w:rsidRPr="00000000">
        <w:rPr>
          <w:rFonts w:ascii="Times New Roman" w:cs="Times New Roman" w:eastAsia="Times New Roman" w:hAnsi="Times New Roman"/>
          <w:b w:val="1"/>
          <w:rtl w:val="0"/>
        </w:rPr>
        <w:t xml:space="preserve">Użyteczność narzędzia</w:t>
      </w:r>
    </w:p>
    <w:p w:rsidR="00000000" w:rsidDel="00000000" w:rsidP="00000000" w:rsidRDefault="00000000" w:rsidRPr="00000000" w14:paraId="0000027C">
      <w:pP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Stworzone w ramach niniejszego zamówienia narzędzie powinno być funkcjonalne oraz intuicyjne i wygodne w obsłudze. W związku z tym przygotowując konkretne rozwiązania w narzędziu Wykonawca powinien brać pod uwagę następujące czynniki wpływające na jakość korzystania: </w:t>
      </w:r>
    </w:p>
    <w:p w:rsidR="00000000" w:rsidDel="00000000" w:rsidP="00000000" w:rsidRDefault="00000000" w:rsidRPr="00000000" w14:paraId="0000027D">
      <w:pPr>
        <w:numPr>
          <w:ilvl w:val="0"/>
          <w:numId w:val="2"/>
        </w:numPr>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nauczalność (learnability) – łatwość wykonywanych prostych czynności w narzędziu przy pierwszym z nim kontakcie, przekłada się to na szybkość, z jaką użytkownik będzie w stanie nauczyć się korzystania z narzędzia,</w:t>
      </w:r>
      <w:r w:rsidDel="00000000" w:rsidR="00000000" w:rsidRPr="00000000">
        <w:rPr>
          <w:rtl w:val="0"/>
        </w:rPr>
      </w:r>
    </w:p>
    <w:p w:rsidR="00000000" w:rsidDel="00000000" w:rsidP="00000000" w:rsidRDefault="00000000" w:rsidRPr="00000000" w14:paraId="0000027E">
      <w:pPr>
        <w:numPr>
          <w:ilvl w:val="0"/>
          <w:numId w:val="2"/>
        </w:numPr>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efektywność (efficiency) – szybkość korzystania z narzędzia przez użytkowników, którzy już je znają, co prowadzi do efektywności użytkownika korzystającego z narzędzia,</w:t>
      </w:r>
      <w:r w:rsidDel="00000000" w:rsidR="00000000" w:rsidRPr="00000000">
        <w:rPr>
          <w:rtl w:val="0"/>
        </w:rPr>
      </w:r>
    </w:p>
    <w:p w:rsidR="00000000" w:rsidDel="00000000" w:rsidP="00000000" w:rsidRDefault="00000000" w:rsidRPr="00000000" w14:paraId="0000027F">
      <w:pPr>
        <w:numPr>
          <w:ilvl w:val="0"/>
          <w:numId w:val="2"/>
        </w:numPr>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zapamiętywalność (memorability) – szybkość nabycia umiejętności w poruszaniu się po narzędziu i łatwość zapamiętywania zasad jego obsługi, co ma szczególne znaczenie dla łatwości przypomnienia sobie korzystania z narzędzia po dłuższej przerwie,</w:t>
      </w:r>
      <w:r w:rsidDel="00000000" w:rsidR="00000000" w:rsidRPr="00000000">
        <w:rPr>
          <w:rtl w:val="0"/>
        </w:rPr>
      </w:r>
    </w:p>
    <w:p w:rsidR="00000000" w:rsidDel="00000000" w:rsidP="00000000" w:rsidRDefault="00000000" w:rsidRPr="00000000" w14:paraId="00000280">
      <w:pPr>
        <w:numPr>
          <w:ilvl w:val="0"/>
          <w:numId w:val="2"/>
        </w:numPr>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satysfakcja (satisfaction) – poziom satysfakcji podczas korzystania z narzędzia, czyli nastawienie do niego użytkowników,</w:t>
      </w:r>
      <w:r w:rsidDel="00000000" w:rsidR="00000000" w:rsidRPr="00000000">
        <w:rPr>
          <w:rtl w:val="0"/>
        </w:rPr>
      </w:r>
    </w:p>
    <w:p w:rsidR="00000000" w:rsidDel="00000000" w:rsidP="00000000" w:rsidRDefault="00000000" w:rsidRPr="00000000" w14:paraId="00000281">
      <w:pPr>
        <w:numPr>
          <w:ilvl w:val="0"/>
          <w:numId w:val="2"/>
        </w:numPr>
        <w:spacing w:after="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błędy (errors) – ilość i częstotliwość popełniania błędów przez użytkowników i łatwość samodzielnego ich rozwiązania przez użytkowników. </w:t>
      </w:r>
      <w:r w:rsidDel="00000000" w:rsidR="00000000" w:rsidRPr="00000000">
        <w:rPr>
          <w:rtl w:val="0"/>
        </w:rPr>
      </w:r>
    </w:p>
    <w:p w:rsidR="00000000" w:rsidDel="00000000" w:rsidP="00000000" w:rsidRDefault="00000000" w:rsidRPr="00000000" w14:paraId="00000282">
      <w:pPr>
        <w:pStyle w:val="Heading2"/>
        <w:numPr>
          <w:ilvl w:val="1"/>
          <w:numId w:val="22"/>
        </w:numPr>
        <w:pBdr>
          <w:top w:space="0" w:sz="0" w:val="nil"/>
          <w:left w:space="0" w:sz="0" w:val="nil"/>
          <w:bottom w:space="0" w:sz="0" w:val="nil"/>
          <w:right w:space="0" w:sz="0" w:val="nil"/>
          <w:between w:space="0" w:sz="0" w:val="nil"/>
        </w:pBdr>
        <w:ind w:left="566" w:hanging="283"/>
        <w:rPr>
          <w:rFonts w:ascii="Times New Roman" w:cs="Times New Roman" w:eastAsia="Times New Roman" w:hAnsi="Times New Roman"/>
          <w:b w:val="1"/>
        </w:rPr>
      </w:pPr>
      <w:bookmarkStart w:colFirst="0" w:colLast="0" w:name="_heading=h.1664s55" w:id="65"/>
      <w:bookmarkEnd w:id="65"/>
      <w:r w:rsidDel="00000000" w:rsidR="00000000" w:rsidRPr="00000000">
        <w:rPr>
          <w:rFonts w:ascii="Times New Roman" w:cs="Times New Roman" w:eastAsia="Times New Roman" w:hAnsi="Times New Roman"/>
          <w:b w:val="1"/>
          <w:rtl w:val="0"/>
        </w:rPr>
        <w:t xml:space="preserve">Wymagania dotyczące ochrony danych osobowych</w:t>
      </w:r>
    </w:p>
    <w:p w:rsidR="00000000" w:rsidDel="00000000" w:rsidP="00000000" w:rsidRDefault="00000000" w:rsidRPr="00000000" w14:paraId="00000283">
      <w:pPr>
        <w:spacing w:after="240" w:before="20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 podstawie przepisów rozporządzenia Parlamentu Europejskiego i Rady (UE) 2016/679 z dnia 27 kwietnia 2016 r. w sprawie ochrony osób fizycznych w związku z przetwarzaniem danych osobowych i w sprawie swobodnego przepływu takich danych oraz uchylenia dyrektywy 95/46/WE (RODO) Zamawiający opracował “Wymagania dla systemów w zakresie RODO i zabezpieczeń IT”. “Wymagania…” określają m.in. minimalne wymagania w zakresie realizacji obowiązków informacyjnych określonych w art. 12</w:t>
      </w:r>
      <w:r w:rsidDel="00000000" w:rsidR="00000000" w:rsidRPr="00000000">
        <w:rPr>
          <w:rFonts w:ascii="Times New Roman" w:cs="Times New Roman" w:eastAsia="Times New Roman" w:hAnsi="Times New Roman"/>
          <w:b w:val="1"/>
          <w:sz w:val="24"/>
          <w:szCs w:val="24"/>
          <w:rtl w:val="0"/>
        </w:rPr>
        <w:t xml:space="preserve">-</w:t>
      </w:r>
      <w:r w:rsidDel="00000000" w:rsidR="00000000" w:rsidRPr="00000000">
        <w:rPr>
          <w:rFonts w:ascii="Times New Roman" w:cs="Times New Roman" w:eastAsia="Times New Roman" w:hAnsi="Times New Roman"/>
          <w:sz w:val="24"/>
          <w:szCs w:val="24"/>
          <w:rtl w:val="0"/>
        </w:rPr>
        <w:t xml:space="preserve">14 RODO, gromadzenia zgód na przetwarzanie danych osobowych (art. 7 RODO), prawidłowości danych, ograniczenia ich przechowywania, rozliczalności (art. 5 RODO), prawa dostępu do danych oraz uzyskania informacji (art. 15 RODO), prawa do sprostowania/poprawienia danych osobowych (16 RODO), prawa do usunięcia danych („prawo do bycia zapomnianym”, art. 17 RODO). </w:t>
      </w:r>
    </w:p>
    <w:p w:rsidR="00000000" w:rsidDel="00000000" w:rsidP="00000000" w:rsidRDefault="00000000" w:rsidRPr="00000000" w14:paraId="00000284">
      <w:pPr>
        <w:spacing w:after="240" w:before="20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Pełna wersja dokumentu zostanie przekazana Wykonawcy w trybie roboczym po podpisaniu umowy. </w:t>
      </w:r>
    </w:p>
    <w:p w:rsidR="00000000" w:rsidDel="00000000" w:rsidP="00000000" w:rsidRDefault="00000000" w:rsidRPr="00000000" w14:paraId="00000285">
      <w:pPr>
        <w:pStyle w:val="Heading2"/>
        <w:numPr>
          <w:ilvl w:val="1"/>
          <w:numId w:val="22"/>
        </w:numPr>
        <w:pBdr>
          <w:top w:space="0" w:sz="0" w:val="nil"/>
          <w:left w:space="0" w:sz="0" w:val="nil"/>
          <w:bottom w:space="0" w:sz="0" w:val="nil"/>
          <w:right w:space="0" w:sz="0" w:val="nil"/>
          <w:between w:space="0" w:sz="0" w:val="nil"/>
        </w:pBdr>
        <w:ind w:left="566" w:hanging="283"/>
        <w:rPr>
          <w:rFonts w:ascii="Times New Roman" w:cs="Times New Roman" w:eastAsia="Times New Roman" w:hAnsi="Times New Roman"/>
          <w:b w:val="1"/>
        </w:rPr>
      </w:pPr>
      <w:bookmarkStart w:colFirst="0" w:colLast="0" w:name="_heading=h.3q5sasy" w:id="66"/>
      <w:bookmarkEnd w:id="66"/>
      <w:r w:rsidDel="00000000" w:rsidR="00000000" w:rsidRPr="00000000">
        <w:rPr>
          <w:rFonts w:ascii="Times New Roman" w:cs="Times New Roman" w:eastAsia="Times New Roman" w:hAnsi="Times New Roman"/>
          <w:b w:val="1"/>
          <w:rtl w:val="0"/>
        </w:rPr>
        <w:t xml:space="preserve">Obsługa powdrożeniowa - utrzymanie narzędzia</w:t>
      </w:r>
    </w:p>
    <w:p w:rsidR="00000000" w:rsidDel="00000000" w:rsidP="00000000" w:rsidRDefault="00000000" w:rsidRPr="00000000" w14:paraId="00000286">
      <w:pPr>
        <w:pBdr>
          <w:top w:space="0" w:sz="0" w:val="nil"/>
          <w:left w:space="0" w:sz="0" w:val="nil"/>
          <w:bottom w:space="0" w:sz="0" w:val="nil"/>
          <w:right w:space="0" w:sz="0" w:val="nil"/>
          <w:between w:space="0" w:sz="0" w:val="nil"/>
        </w:pBdr>
        <w:spacing w:before="20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Od momentu odebrania narzędzia do 30.06.2026 r. Wykonawca zapewni obsługę powdrożeniową narzędzia, która obejmować będzie:</w:t>
      </w:r>
    </w:p>
    <w:p w:rsidR="00000000" w:rsidDel="00000000" w:rsidP="00000000" w:rsidRDefault="00000000" w:rsidRPr="00000000" w14:paraId="00000287">
      <w:pPr>
        <w:numPr>
          <w:ilvl w:val="0"/>
          <w:numId w:val="2"/>
        </w:numPr>
        <w:pBdr>
          <w:top w:space="0" w:sz="0" w:val="nil"/>
          <w:left w:space="0" w:sz="0" w:val="nil"/>
          <w:bottom w:space="0" w:sz="0" w:val="nil"/>
          <w:right w:space="0" w:sz="0" w:val="nil"/>
          <w:between w:space="0" w:sz="0" w:val="nil"/>
        </w:pBdr>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aktualizację narzędzia i jego komponentów,</w:t>
      </w:r>
      <w:r w:rsidDel="00000000" w:rsidR="00000000" w:rsidRPr="00000000">
        <w:rPr>
          <w:rtl w:val="0"/>
        </w:rPr>
      </w:r>
    </w:p>
    <w:p w:rsidR="00000000" w:rsidDel="00000000" w:rsidP="00000000" w:rsidRDefault="00000000" w:rsidRPr="00000000" w14:paraId="00000288">
      <w:pPr>
        <w:numPr>
          <w:ilvl w:val="0"/>
          <w:numId w:val="2"/>
        </w:numPr>
        <w:pBdr>
          <w:top w:space="0" w:sz="0" w:val="nil"/>
          <w:left w:space="0" w:sz="0" w:val="nil"/>
          <w:bottom w:space="0" w:sz="0" w:val="nil"/>
          <w:right w:space="0" w:sz="0" w:val="nil"/>
          <w:between w:space="0" w:sz="0" w:val="nil"/>
        </w:pBdr>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aktualizację bibliotek do ich aktualnej wersji,</w:t>
      </w:r>
      <w:r w:rsidDel="00000000" w:rsidR="00000000" w:rsidRPr="00000000">
        <w:rPr>
          <w:rtl w:val="0"/>
        </w:rPr>
      </w:r>
    </w:p>
    <w:p w:rsidR="00000000" w:rsidDel="00000000" w:rsidP="00000000" w:rsidRDefault="00000000" w:rsidRPr="00000000" w14:paraId="00000289">
      <w:pPr>
        <w:numPr>
          <w:ilvl w:val="0"/>
          <w:numId w:val="2"/>
        </w:numPr>
        <w:pBdr>
          <w:top w:space="0" w:sz="0" w:val="nil"/>
          <w:left w:space="0" w:sz="0" w:val="nil"/>
          <w:bottom w:space="0" w:sz="0" w:val="nil"/>
          <w:right w:space="0" w:sz="0" w:val="nil"/>
          <w:between w:space="0" w:sz="0" w:val="nil"/>
        </w:pBdr>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wsparcie Zamawiającego przy obsłudze narzędzia, w tym wsparcie dla użytkowników w korzystaniu z poszczególnych funkcjonalności narzędzia, w tym pomoc w rozwiązywania problemów, które pojawią się w trakcie korzystania z narzędzia przez administratorów i użytkowników, </w:t>
      </w:r>
      <w:r w:rsidDel="00000000" w:rsidR="00000000" w:rsidRPr="00000000">
        <w:rPr>
          <w:rtl w:val="0"/>
        </w:rPr>
      </w:r>
    </w:p>
    <w:p w:rsidR="00000000" w:rsidDel="00000000" w:rsidP="00000000" w:rsidRDefault="00000000" w:rsidRPr="00000000" w14:paraId="0000028A">
      <w:pPr>
        <w:numPr>
          <w:ilvl w:val="0"/>
          <w:numId w:val="2"/>
        </w:numPr>
        <w:pBdr>
          <w:top w:space="0" w:sz="0" w:val="nil"/>
          <w:left w:space="0" w:sz="0" w:val="nil"/>
          <w:bottom w:space="0" w:sz="0" w:val="nil"/>
          <w:right w:space="0" w:sz="0" w:val="nil"/>
          <w:between w:space="0" w:sz="0" w:val="nil"/>
        </w:pBdr>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bieżącą naprawę błędów w funkcjonowaniu narzędzia.</w:t>
      </w:r>
      <w:r w:rsidDel="00000000" w:rsidR="00000000" w:rsidRPr="00000000">
        <w:rPr>
          <w:rtl w:val="0"/>
        </w:rPr>
      </w:r>
    </w:p>
    <w:p w:rsidR="00000000" w:rsidDel="00000000" w:rsidP="00000000" w:rsidRDefault="00000000" w:rsidRPr="00000000" w14:paraId="0000028B">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Wykonawca naprawi zgłoszone błędy w następujących terminach:</w:t>
      </w:r>
    </w:p>
    <w:p w:rsidR="00000000" w:rsidDel="00000000" w:rsidP="00000000" w:rsidRDefault="00000000" w:rsidRPr="00000000" w14:paraId="0000028C">
      <w:pPr>
        <w:numPr>
          <w:ilvl w:val="0"/>
          <w:numId w:val="4"/>
        </w:numPr>
        <w:spacing w:befor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Awaria – błąd krytyczny, który uniemożliwia korzystanie z narzędzia:</w:t>
      </w:r>
    </w:p>
    <w:p w:rsidR="00000000" w:rsidDel="00000000" w:rsidP="00000000" w:rsidRDefault="00000000" w:rsidRPr="00000000" w14:paraId="0000028D">
      <w:pPr>
        <w:ind w:left="708"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Czas reakcji na zgłoszenie = do 2 godzin,</w:t>
      </w:r>
    </w:p>
    <w:p w:rsidR="00000000" w:rsidDel="00000000" w:rsidP="00000000" w:rsidRDefault="00000000" w:rsidRPr="00000000" w14:paraId="0000028E">
      <w:pPr>
        <w:ind w:left="708"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Czas naprawy = do 20 godzin</w:t>
      </w:r>
    </w:p>
    <w:p w:rsidR="00000000" w:rsidDel="00000000" w:rsidP="00000000" w:rsidRDefault="00000000" w:rsidRPr="00000000" w14:paraId="0000028F">
      <w:pPr>
        <w:numPr>
          <w:ilvl w:val="0"/>
          <w:numId w:val="4"/>
        </w:numPr>
        <w:spacing w:befor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Błąd – błąd, który negatywnie wpływa na wydajność i funkcjonalność narzędzia, jednak nie uniemożliwia korzystania z niego:</w:t>
      </w:r>
    </w:p>
    <w:p w:rsidR="00000000" w:rsidDel="00000000" w:rsidP="00000000" w:rsidRDefault="00000000" w:rsidRPr="00000000" w14:paraId="00000290">
      <w:pPr>
        <w:ind w:left="708"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Czas reakcji na zgłoszenie = do 3 godzin</w:t>
      </w:r>
    </w:p>
    <w:p w:rsidR="00000000" w:rsidDel="00000000" w:rsidP="00000000" w:rsidRDefault="00000000" w:rsidRPr="00000000" w14:paraId="00000291">
      <w:pPr>
        <w:ind w:left="708"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Czas naprawy = do 48 godzin</w:t>
      </w:r>
    </w:p>
    <w:p w:rsidR="00000000" w:rsidDel="00000000" w:rsidP="00000000" w:rsidRDefault="00000000" w:rsidRPr="00000000" w14:paraId="00000292">
      <w:pPr>
        <w:numPr>
          <w:ilvl w:val="0"/>
          <w:numId w:val="4"/>
        </w:numPr>
        <w:spacing w:befor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Wada – błąd, który nie wpływa na funkcjonalność i wydajność narzędzia, ale może powodować trudne do zdiagnozowania problemy bądź pogorszenie komfortu korzystania z narzędzia:</w:t>
      </w:r>
    </w:p>
    <w:p w:rsidR="00000000" w:rsidDel="00000000" w:rsidP="00000000" w:rsidRDefault="00000000" w:rsidRPr="00000000" w14:paraId="00000293">
      <w:pPr>
        <w:ind w:left="708"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Czas reakcji na zgłoszenie = do 3 godzin</w:t>
      </w:r>
    </w:p>
    <w:p w:rsidR="00000000" w:rsidDel="00000000" w:rsidP="00000000" w:rsidRDefault="00000000" w:rsidRPr="00000000" w14:paraId="00000294">
      <w:pPr>
        <w:ind w:left="708"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Czas naprawy = do 72 godzin</w:t>
      </w:r>
    </w:p>
    <w:p w:rsidR="00000000" w:rsidDel="00000000" w:rsidP="00000000" w:rsidRDefault="00000000" w:rsidRPr="00000000" w14:paraId="00000295">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Czas naprawy liczony zostaje od momentu zgłoszenia przez Zamawiającego błędu w Redmine. Wykonawca otrzymuje powiadomienie mailem o utworzeniu zgłoszenia na adres e-mail. </w:t>
      </w:r>
    </w:p>
    <w:p w:rsidR="00000000" w:rsidDel="00000000" w:rsidP="00000000" w:rsidRDefault="00000000" w:rsidRPr="00000000" w14:paraId="00000296">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Uwaga: Powyższe opisy kategorii błędów mają charakter poglądowy. Kategorię błędu określa Zamawiający, gdyż w zależności od towarzyszących okoliczności mogą wystąpić sytuacje, gdzie np. Wada lub Błąd mogą zostać zakwalifikowane jako Awaria.</w:t>
      </w:r>
    </w:p>
    <w:p w:rsidR="00000000" w:rsidDel="00000000" w:rsidP="00000000" w:rsidRDefault="00000000" w:rsidRPr="00000000" w14:paraId="00000297">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Wykonawca ma obowiązek określić liczbę godzin potrzebnych na naprawę poszczególnych błędów za pośrednictwem systemu Redmine. Wykonawca zobowiązany jest być dostępnym dla Zamawiającego w godzinach 8:00-16:00 w formie komunikacji uzgodnionej z Zamawiającym (telefon, e-mail, Redmine).</w:t>
      </w:r>
    </w:p>
    <w:p w:rsidR="00000000" w:rsidDel="00000000" w:rsidP="00000000" w:rsidRDefault="00000000" w:rsidRPr="00000000" w14:paraId="00000298">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Obsługa powdrożeniowa - utrzymanie narzędzia nie jest realizowane w ramach godzin asysty technicznej. </w:t>
      </w:r>
    </w:p>
    <w:p w:rsidR="00000000" w:rsidDel="00000000" w:rsidP="00000000" w:rsidRDefault="00000000" w:rsidRPr="00000000" w14:paraId="00000299">
      <w:pPr>
        <w:pStyle w:val="Heading2"/>
        <w:numPr>
          <w:ilvl w:val="1"/>
          <w:numId w:val="22"/>
        </w:numPr>
        <w:pBdr>
          <w:top w:space="0" w:sz="0" w:val="nil"/>
          <w:left w:space="0" w:sz="0" w:val="nil"/>
          <w:bottom w:space="0" w:sz="0" w:val="nil"/>
          <w:right w:space="0" w:sz="0" w:val="nil"/>
          <w:between w:space="0" w:sz="0" w:val="nil"/>
        </w:pBdr>
        <w:ind w:left="566" w:hanging="283"/>
        <w:rPr>
          <w:rFonts w:ascii="Times New Roman" w:cs="Times New Roman" w:eastAsia="Times New Roman" w:hAnsi="Times New Roman"/>
          <w:b w:val="1"/>
        </w:rPr>
      </w:pPr>
      <w:bookmarkStart w:colFirst="0" w:colLast="0" w:name="_heading=h.25b2l0r" w:id="67"/>
      <w:bookmarkEnd w:id="67"/>
      <w:r w:rsidDel="00000000" w:rsidR="00000000" w:rsidRPr="00000000">
        <w:rPr>
          <w:rFonts w:ascii="Times New Roman" w:cs="Times New Roman" w:eastAsia="Times New Roman" w:hAnsi="Times New Roman"/>
          <w:b w:val="1"/>
          <w:rtl w:val="0"/>
        </w:rPr>
        <w:t xml:space="preserve">Rozwój narzędzia - asysta techniczna</w:t>
      </w:r>
    </w:p>
    <w:p w:rsidR="00000000" w:rsidDel="00000000" w:rsidP="00000000" w:rsidRDefault="00000000" w:rsidRPr="00000000" w14:paraId="0000029A">
      <w:pP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 okresie od odbioru zamówienia do 30 czerwca 2026 r. Wykonawca zapewnia asystę techniczną rozumianą jako prace programistyczne mające na celu dalszy rozwój narzędzia, w szczególności:</w:t>
      </w:r>
    </w:p>
    <w:p w:rsidR="00000000" w:rsidDel="00000000" w:rsidP="00000000" w:rsidRDefault="00000000" w:rsidRPr="00000000" w14:paraId="0000029B">
      <w:pPr>
        <w:numPr>
          <w:ilvl w:val="0"/>
          <w:numId w:val="10"/>
        </w:numPr>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dostosowanie narzędzia do zmian w przepisach prawa,</w:t>
      </w:r>
    </w:p>
    <w:p w:rsidR="00000000" w:rsidDel="00000000" w:rsidP="00000000" w:rsidRDefault="00000000" w:rsidRPr="00000000" w14:paraId="0000029C">
      <w:pPr>
        <w:numPr>
          <w:ilvl w:val="0"/>
          <w:numId w:val="10"/>
        </w:numPr>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wprowadzenie w narzędziu usprawnień i nowych funkcjonalności,</w:t>
      </w:r>
    </w:p>
    <w:p w:rsidR="00000000" w:rsidDel="00000000" w:rsidP="00000000" w:rsidRDefault="00000000" w:rsidRPr="00000000" w14:paraId="0000029D">
      <w:pPr>
        <w:numPr>
          <w:ilvl w:val="0"/>
          <w:numId w:val="10"/>
        </w:numPr>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rozwijania bazy danych narzędzia,</w:t>
      </w:r>
    </w:p>
    <w:p w:rsidR="00000000" w:rsidDel="00000000" w:rsidP="00000000" w:rsidRDefault="00000000" w:rsidRPr="00000000" w14:paraId="0000029E">
      <w:pPr>
        <w:numPr>
          <w:ilvl w:val="0"/>
          <w:numId w:val="10"/>
        </w:numPr>
        <w:spacing w:after="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dodania nowych szablonów raportów.</w:t>
      </w:r>
    </w:p>
    <w:p w:rsidR="00000000" w:rsidDel="00000000" w:rsidP="00000000" w:rsidRDefault="00000000" w:rsidRPr="00000000" w14:paraId="0000029F">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Zamawiający oczekuje zapewnienia przez Wykonawcę asysty technicznej w łącznym wymiarze 400 godzin prac programistycznych. Zakres ten może zostać wykorzystany przez Zamawiającego cyklicznie lub jednorazowo, natomiast rozliczenie wykorzystanych godzin asysty technicznej następuje w cyklach miesięcznych. Niewykorzystane godziny asysty technicznej przechodzą na kolejny miesiąc. Płatność za prace programistyczne wykonane w ramach asysty technicznej dokonywana jest co miesiąc na podstawie rozliczenia godzin zrealizowanych przez Wykonawcę w danym miesiącu. </w:t>
      </w:r>
    </w:p>
    <w:p w:rsidR="00000000" w:rsidDel="00000000" w:rsidP="00000000" w:rsidRDefault="00000000" w:rsidRPr="00000000" w14:paraId="000002A0">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Wykonawca oświadcza, że dopuszcza możliwość modyfikacji kodu aplikacji przez Zamawiającego bez utraty powyższego świadczenia.</w:t>
      </w:r>
    </w:p>
    <w:p w:rsidR="00000000" w:rsidDel="00000000" w:rsidP="00000000" w:rsidRDefault="00000000" w:rsidRPr="00000000" w14:paraId="000002A1">
      <w:pPr>
        <w:spacing w:after="20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Szczegółowy zakres prac w ramach asysty technicznej będzie ustalany pomiędzy Zamawiającym, a Wykonawcą na spotkaniach roboczych.</w:t>
      </w:r>
    </w:p>
    <w:p w:rsidR="00000000" w:rsidDel="00000000" w:rsidP="00000000" w:rsidRDefault="00000000" w:rsidRPr="00000000" w14:paraId="000002A2">
      <w:pPr>
        <w:pStyle w:val="Heading3"/>
        <w:numPr>
          <w:ilvl w:val="2"/>
          <w:numId w:val="22"/>
        </w:numPr>
        <w:pBdr>
          <w:top w:space="0" w:sz="0" w:val="nil"/>
          <w:left w:space="0" w:sz="0" w:val="nil"/>
          <w:bottom w:space="0" w:sz="0" w:val="nil"/>
          <w:right w:space="0" w:sz="0" w:val="nil"/>
          <w:between w:space="0" w:sz="0" w:val="nil"/>
        </w:pBdr>
        <w:ind w:left="566" w:hanging="141"/>
        <w:rPr/>
      </w:pPr>
      <w:bookmarkStart w:colFirst="0" w:colLast="0" w:name="_heading=h.kgcv8k" w:id="68"/>
      <w:bookmarkEnd w:id="68"/>
      <w:r w:rsidDel="00000000" w:rsidR="00000000" w:rsidRPr="00000000">
        <w:rPr>
          <w:rtl w:val="0"/>
        </w:rPr>
        <w:t xml:space="preserve">Tryb realizacji asysty technicznej</w:t>
      </w:r>
    </w:p>
    <w:p w:rsidR="00000000" w:rsidDel="00000000" w:rsidP="00000000" w:rsidRDefault="00000000" w:rsidRPr="00000000" w14:paraId="000002A3">
      <w:pPr>
        <w:numPr>
          <w:ilvl w:val="0"/>
          <w:numId w:val="17"/>
        </w:numPr>
        <w:ind w:left="566" w:hanging="283"/>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Zamawiający będzie dokonywał zlecenia prac w ramach asysty technicznej przy pomocy systemu Redmine (określenie zakresu prac oraz przekazanie niezbędnej dokumentacji).</w:t>
      </w:r>
    </w:p>
    <w:p w:rsidR="00000000" w:rsidDel="00000000" w:rsidP="00000000" w:rsidRDefault="00000000" w:rsidRPr="00000000" w14:paraId="000002A4">
      <w:pPr>
        <w:numPr>
          <w:ilvl w:val="0"/>
          <w:numId w:val="17"/>
        </w:numPr>
        <w:ind w:left="566" w:hanging="283"/>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 ciągu 48 godzin od otrzymania od Zamawiającego zlecenia, o którym mowa w pkt 1, Wykonawca przedstawi Zamawiającemu informację o liczbie roboczogodzin niezbędnych do zrealizowania tej usługi.</w:t>
      </w:r>
    </w:p>
    <w:p w:rsidR="00000000" w:rsidDel="00000000" w:rsidP="00000000" w:rsidRDefault="00000000" w:rsidRPr="00000000" w14:paraId="000002A5">
      <w:pPr>
        <w:numPr>
          <w:ilvl w:val="0"/>
          <w:numId w:val="17"/>
        </w:numPr>
        <w:ind w:left="566" w:hanging="283"/>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Zamawiający może zakwestionować liczbę godzin wskazaną przez Wykonawcę na wykonanie zadania. Uzgodnienia liczby godzin potrzebnych na realizację zadań między Wykonawcą a Zamawiającym odbywają się w systemie Redmine lub na spotkaniu online. Ustalona liczba godzin zostanie wpisana do systemu Redmine.</w:t>
      </w:r>
    </w:p>
    <w:p w:rsidR="00000000" w:rsidDel="00000000" w:rsidP="00000000" w:rsidRDefault="00000000" w:rsidRPr="00000000" w14:paraId="000002A6">
      <w:pPr>
        <w:numPr>
          <w:ilvl w:val="0"/>
          <w:numId w:val="17"/>
        </w:numPr>
        <w:ind w:left="566" w:hanging="283"/>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Niezwłocznie po uzgodnieniu z Zamawiającym liczby godzin niezbędnych do realizacji danego zlecenia Wykonawca przystępuje do wykonania zleconych prac.</w:t>
      </w:r>
    </w:p>
    <w:p w:rsidR="00000000" w:rsidDel="00000000" w:rsidP="00000000" w:rsidRDefault="00000000" w:rsidRPr="00000000" w14:paraId="000002A7">
      <w:pPr>
        <w:numPr>
          <w:ilvl w:val="0"/>
          <w:numId w:val="17"/>
        </w:numPr>
        <w:spacing w:after="200" w:lineRule="auto"/>
        <w:ind w:left="566" w:hanging="283"/>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 każdym miesiącu realizacji usługi asysty technicznej Wykonawca przedstawi raport  obejmujący liczbę godzin poświęconych na wykonanie usługi w danym miesiącu oraz krótki opis zakresu prac wykonanych w ramach tych godzin. Liczba godzin poświęconych na wykonanie usługi w danym miesiącu nie może być większa od wcześniej deklarowanej oraz od liczby godzin pozostałych do wykorzystania przez Zamawiającego w ramach umowy. Zamawiający zweryfikuje poprawność danych w raporcie z informacjami zawartymi w Redmine. Z przekazania raportu zostanie spisany protokół zdawczo-odbiorczy.</w:t>
      </w:r>
    </w:p>
    <w:p w:rsidR="00000000" w:rsidDel="00000000" w:rsidP="00000000" w:rsidRDefault="00000000" w:rsidRPr="00000000" w14:paraId="000002A8">
      <w:pPr>
        <w:pStyle w:val="Heading1"/>
        <w:numPr>
          <w:ilvl w:val="0"/>
          <w:numId w:val="22"/>
        </w:numPr>
        <w:pBdr>
          <w:top w:space="0" w:sz="0" w:val="nil"/>
          <w:left w:space="0" w:sz="0" w:val="nil"/>
          <w:bottom w:space="0" w:sz="0" w:val="nil"/>
          <w:right w:space="0" w:sz="0" w:val="nil"/>
          <w:between w:space="0" w:sz="0" w:val="nil"/>
        </w:pBdr>
        <w:ind w:left="566" w:hanging="283"/>
        <w:rPr/>
      </w:pPr>
      <w:bookmarkStart w:colFirst="0" w:colLast="0" w:name="_heading=h.34g0dwd" w:id="69"/>
      <w:bookmarkEnd w:id="69"/>
      <w:r w:rsidDel="00000000" w:rsidR="00000000" w:rsidRPr="00000000">
        <w:rPr>
          <w:rtl w:val="0"/>
        </w:rPr>
        <w:t xml:space="preserve">Dokumentacja</w:t>
      </w:r>
    </w:p>
    <w:p w:rsidR="00000000" w:rsidDel="00000000" w:rsidP="00000000" w:rsidRDefault="00000000" w:rsidRPr="00000000" w14:paraId="000002A9">
      <w:pPr>
        <w:spacing w:after="200" w:before="20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Dokumentacja narzędzia ma zawierać dokładne, szczegółowe instrukcje pozwalające Zamawiającemu samodzielnie zainstalować i skonfigurować narzędzia na serwerze w modelu LAMP. Musi zawierać też opis wszystkich niezbędnych czynności związanych z poprawną administracją i zarządzaniem (np. ustawianie parametrów konfiguracyjnych, wszelkie własne opcje i parametry konfiguracyjne, wszelkie parametry konfiguracyjne wykorzystanych zewnętrznych bibliotek). </w:t>
      </w:r>
    </w:p>
    <w:p w:rsidR="00000000" w:rsidDel="00000000" w:rsidP="00000000" w:rsidRDefault="00000000" w:rsidRPr="00000000" w14:paraId="000002AA">
      <w:pPr>
        <w:spacing w:after="200" w:before="20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Dokumentacja musi zawierać m.in. następujące zestawienia:</w:t>
      </w:r>
    </w:p>
    <w:p w:rsidR="00000000" w:rsidDel="00000000" w:rsidP="00000000" w:rsidRDefault="00000000" w:rsidRPr="00000000" w14:paraId="000002AB">
      <w:pPr>
        <w:numPr>
          <w:ilvl w:val="0"/>
          <w:numId w:val="23"/>
        </w:numPr>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listy komunikatów zgłaszających błąd,</w:t>
      </w:r>
      <w:r w:rsidDel="00000000" w:rsidR="00000000" w:rsidRPr="00000000">
        <w:rPr>
          <w:rtl w:val="0"/>
        </w:rPr>
      </w:r>
    </w:p>
    <w:p w:rsidR="00000000" w:rsidDel="00000000" w:rsidP="00000000" w:rsidRDefault="00000000" w:rsidRPr="00000000" w14:paraId="000002AC">
      <w:pPr>
        <w:numPr>
          <w:ilvl w:val="0"/>
          <w:numId w:val="23"/>
        </w:numPr>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strukturę tablic w bazie danych, atrybutów w tablicach, domyślnych wartości i powiązań między nimi.</w:t>
      </w:r>
      <w:r w:rsidDel="00000000" w:rsidR="00000000" w:rsidRPr="00000000">
        <w:rPr>
          <w:rtl w:val="0"/>
        </w:rPr>
      </w:r>
    </w:p>
    <w:p w:rsidR="00000000" w:rsidDel="00000000" w:rsidP="00000000" w:rsidRDefault="00000000" w:rsidRPr="00000000" w14:paraId="000002AD">
      <w:pPr>
        <w:widowControl w:val="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AE">
      <w:pPr>
        <w:widowControl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Dokumentacja narzędzia musi się składać z:</w:t>
      </w:r>
    </w:p>
    <w:p w:rsidR="00000000" w:rsidDel="00000000" w:rsidP="00000000" w:rsidRDefault="00000000" w:rsidRPr="00000000" w14:paraId="000002AF">
      <w:pPr>
        <w:numPr>
          <w:ilvl w:val="0"/>
          <w:numId w:val="23"/>
        </w:numPr>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Dokumentacji administracyjnej,</w:t>
      </w:r>
      <w:r w:rsidDel="00000000" w:rsidR="00000000" w:rsidRPr="00000000">
        <w:rPr>
          <w:rtl w:val="0"/>
        </w:rPr>
      </w:r>
    </w:p>
    <w:p w:rsidR="00000000" w:rsidDel="00000000" w:rsidP="00000000" w:rsidRDefault="00000000" w:rsidRPr="00000000" w14:paraId="000002B0">
      <w:pPr>
        <w:numPr>
          <w:ilvl w:val="0"/>
          <w:numId w:val="23"/>
        </w:numPr>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Dokumentacji procesu migracji danych, o której mowa w pkt 5.1.2.3.,</w:t>
      </w:r>
    </w:p>
    <w:p w:rsidR="00000000" w:rsidDel="00000000" w:rsidP="00000000" w:rsidRDefault="00000000" w:rsidRPr="00000000" w14:paraId="000002B1">
      <w:pPr>
        <w:numPr>
          <w:ilvl w:val="0"/>
          <w:numId w:val="23"/>
        </w:numPr>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Dokumentacji integracji, o której mowa w pkt 5.1.3.5.,</w:t>
      </w:r>
    </w:p>
    <w:p w:rsidR="00000000" w:rsidDel="00000000" w:rsidP="00000000" w:rsidRDefault="00000000" w:rsidRPr="00000000" w14:paraId="000002B2">
      <w:pPr>
        <w:numPr>
          <w:ilvl w:val="0"/>
          <w:numId w:val="23"/>
        </w:numPr>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Instrukcji użytkownika </w:t>
      </w:r>
    </w:p>
    <w:p w:rsidR="00000000" w:rsidDel="00000000" w:rsidP="00000000" w:rsidRDefault="00000000" w:rsidRPr="00000000" w14:paraId="000002B3">
      <w:pPr>
        <w:numPr>
          <w:ilvl w:val="0"/>
          <w:numId w:val="23"/>
        </w:numPr>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Architektonicznego modelu systemu,</w:t>
      </w:r>
      <w:r w:rsidDel="00000000" w:rsidR="00000000" w:rsidRPr="00000000">
        <w:rPr>
          <w:rtl w:val="0"/>
        </w:rPr>
      </w:r>
    </w:p>
    <w:p w:rsidR="00000000" w:rsidDel="00000000" w:rsidP="00000000" w:rsidRDefault="00000000" w:rsidRPr="00000000" w14:paraId="000002B4">
      <w:pPr>
        <w:numPr>
          <w:ilvl w:val="0"/>
          <w:numId w:val="23"/>
        </w:numPr>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Skomentowanego kodu źródłowego,</w:t>
      </w:r>
      <w:r w:rsidDel="00000000" w:rsidR="00000000" w:rsidRPr="00000000">
        <w:rPr>
          <w:rtl w:val="0"/>
        </w:rPr>
      </w:r>
    </w:p>
    <w:p w:rsidR="00000000" w:rsidDel="00000000" w:rsidP="00000000" w:rsidRDefault="00000000" w:rsidRPr="00000000" w14:paraId="000002B5">
      <w:pPr>
        <w:numPr>
          <w:ilvl w:val="0"/>
          <w:numId w:val="23"/>
        </w:numPr>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Dokumentacji kodu źródłowego.</w:t>
      </w:r>
      <w:r w:rsidDel="00000000" w:rsidR="00000000" w:rsidRPr="00000000">
        <w:rPr>
          <w:rtl w:val="0"/>
        </w:rPr>
      </w:r>
    </w:p>
    <w:p w:rsidR="00000000" w:rsidDel="00000000" w:rsidP="00000000" w:rsidRDefault="00000000" w:rsidRPr="00000000" w14:paraId="000002B6">
      <w:pPr>
        <w:spacing w:after="240" w:before="20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Ze względu na fakt, że projekt ZSK6 realizowany jest ramach programu Fundusze Europejskie dla Rozwoju Społecznego 2021-2027 (FERS), współfinansowanego ze środków Unii Europejskiej, dokumentacja musi zostać opatrzona stosowną belką projektową dostarczoną przez Zamawiającego.  </w:t>
      </w:r>
    </w:p>
    <w:p w:rsidR="00000000" w:rsidDel="00000000" w:rsidP="00000000" w:rsidRDefault="00000000" w:rsidRPr="00000000" w14:paraId="000002B7">
      <w:pPr>
        <w:pStyle w:val="Heading1"/>
        <w:numPr>
          <w:ilvl w:val="0"/>
          <w:numId w:val="22"/>
        </w:numPr>
        <w:pBdr>
          <w:top w:space="0" w:sz="0" w:val="nil"/>
          <w:left w:space="0" w:sz="0" w:val="nil"/>
          <w:bottom w:space="0" w:sz="0" w:val="nil"/>
          <w:right w:space="0" w:sz="0" w:val="nil"/>
          <w:between w:space="0" w:sz="0" w:val="nil"/>
        </w:pBdr>
        <w:ind w:left="566" w:hanging="283"/>
        <w:rPr/>
      </w:pPr>
      <w:bookmarkStart w:colFirst="0" w:colLast="0" w:name="_heading=h.1jlao46" w:id="70"/>
      <w:bookmarkEnd w:id="70"/>
      <w:r w:rsidDel="00000000" w:rsidR="00000000" w:rsidRPr="00000000">
        <w:rPr>
          <w:rtl w:val="0"/>
        </w:rPr>
        <w:t xml:space="preserve">Licencje</w:t>
      </w:r>
    </w:p>
    <w:p w:rsidR="00000000" w:rsidDel="00000000" w:rsidP="00000000" w:rsidRDefault="00000000" w:rsidRPr="00000000" w14:paraId="000002B8">
      <w:pPr>
        <w:spacing w:after="200" w:before="20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Wykonawca przekaże Zamawiającemu nieodpłatnie pełne i wieczyste licencje oraz majątkowe prawa autorskie do narzędzia, w tym do utworów stron trzecich. Licencje przekazane przez Wykonawcę będą umożliwiały wszelkie działania, w tym modyfikację narzędzia przez Zamawiającego.</w:t>
      </w:r>
    </w:p>
    <w:p w:rsidR="00000000" w:rsidDel="00000000" w:rsidP="00000000" w:rsidRDefault="00000000" w:rsidRPr="00000000" w14:paraId="000002B9">
      <w:pPr>
        <w:spacing w:after="20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Jeżeli do poprawnej pracy narzędzia niezbędne jest dostarczenie w całości lub części oprogramowania komercyjnego, Wykonawca musi dostarczyć to oprogramowanie bez ograniczeń czasowych i limitów danych wraz z oryginalnymi nośnikami.</w:t>
      </w:r>
    </w:p>
    <w:p w:rsidR="00000000" w:rsidDel="00000000" w:rsidP="00000000" w:rsidRDefault="00000000" w:rsidRPr="00000000" w14:paraId="000002BA">
      <w:pPr>
        <w:spacing w:after="20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Licencja przekazana przez Wykonawcę na narzędzie będzie umożliwiała wszelkie działania, w tym modyfikację narzędzia przez Zamawiającego. W przypadku takiej modyfikacji Wykonawca nie odpowiada bezpośrednio za zmieniony przez Zamawiającego fragment, jednak narzędzie nie traci wsparcia asysty technicznej ani gwarancji w pozostałym zakresie.</w:t>
      </w:r>
    </w:p>
    <w:p w:rsidR="00000000" w:rsidDel="00000000" w:rsidP="00000000" w:rsidRDefault="00000000" w:rsidRPr="00000000" w14:paraId="000002BB">
      <w:pPr>
        <w:pStyle w:val="Heading1"/>
        <w:numPr>
          <w:ilvl w:val="0"/>
          <w:numId w:val="22"/>
        </w:numPr>
        <w:pBdr>
          <w:top w:space="0" w:sz="0" w:val="nil"/>
          <w:left w:space="0" w:sz="0" w:val="nil"/>
          <w:bottom w:space="0" w:sz="0" w:val="nil"/>
          <w:right w:space="0" w:sz="0" w:val="nil"/>
          <w:between w:space="0" w:sz="0" w:val="nil"/>
        </w:pBdr>
        <w:ind w:left="566" w:hanging="283"/>
        <w:rPr/>
      </w:pPr>
      <w:bookmarkStart w:colFirst="0" w:colLast="0" w:name="_heading=h.43ky6rz" w:id="71"/>
      <w:bookmarkEnd w:id="71"/>
      <w:r w:rsidDel="00000000" w:rsidR="00000000" w:rsidRPr="00000000">
        <w:rPr>
          <w:rtl w:val="0"/>
        </w:rPr>
        <w:t xml:space="preserve">Kod źródłowy narzędzia</w:t>
      </w:r>
    </w:p>
    <w:p w:rsidR="00000000" w:rsidDel="00000000" w:rsidP="00000000" w:rsidRDefault="00000000" w:rsidRPr="00000000" w14:paraId="000002BC">
      <w:pPr>
        <w:spacing w:after="240" w:before="240" w:lineRule="auto"/>
        <w:jc w:val="both"/>
        <w:rPr>
          <w:rFonts w:ascii="Times New Roman" w:cs="Times New Roman" w:eastAsia="Times New Roman" w:hAnsi="Times New Roman"/>
          <w:b w:val="1"/>
          <w:sz w:val="36"/>
          <w:szCs w:val="36"/>
        </w:rPr>
      </w:pPr>
      <w:r w:rsidDel="00000000" w:rsidR="00000000" w:rsidRPr="00000000">
        <w:rPr>
          <w:rFonts w:ascii="Times New Roman" w:cs="Times New Roman" w:eastAsia="Times New Roman" w:hAnsi="Times New Roman"/>
          <w:color w:val="333333"/>
          <w:sz w:val="24"/>
          <w:szCs w:val="24"/>
          <w:rtl w:val="0"/>
        </w:rPr>
        <w:t xml:space="preserve">Kod źródłowy narzędzia musi być czytelny i możliwy do edycji przez uprawnionego pracownika Zamawiającego. Wymagane jest stosowanie dobrych praktyk poprawiających czytelność kodu (np. wcięcia, czytelne nazwy zmiennych). Kod narzędzia musi zostać szczegółowo opisany komentarzami wraz z charakterystyką możliwych parametrów, które w danym miejscu są używane. Zamawiający dopuszcza przekazanie zgromadzonych komentarzy jako część dokumentacji. </w:t>
      </w:r>
      <w:r w:rsidDel="00000000" w:rsidR="00000000" w:rsidRPr="00000000">
        <w:rPr>
          <w:rtl w:val="0"/>
        </w:rPr>
      </w:r>
    </w:p>
    <w:p w:rsidR="00000000" w:rsidDel="00000000" w:rsidP="00000000" w:rsidRDefault="00000000" w:rsidRPr="00000000" w14:paraId="000002BD">
      <w:pPr>
        <w:pStyle w:val="Heading1"/>
        <w:numPr>
          <w:ilvl w:val="0"/>
          <w:numId w:val="22"/>
        </w:numPr>
        <w:pBdr>
          <w:top w:space="0" w:sz="0" w:val="nil"/>
          <w:left w:space="0" w:sz="0" w:val="nil"/>
          <w:bottom w:space="0" w:sz="0" w:val="nil"/>
          <w:right w:space="0" w:sz="0" w:val="nil"/>
          <w:between w:space="0" w:sz="0" w:val="nil"/>
        </w:pBdr>
        <w:ind w:left="566" w:hanging="283"/>
        <w:rPr/>
      </w:pPr>
      <w:bookmarkStart w:colFirst="0" w:colLast="0" w:name="_heading=h.2iq8gzs" w:id="72"/>
      <w:bookmarkEnd w:id="72"/>
      <w:r w:rsidDel="00000000" w:rsidR="00000000" w:rsidRPr="00000000">
        <w:rPr>
          <w:rtl w:val="0"/>
        </w:rPr>
        <w:t xml:space="preserve">Sposób realizacji zamówienia</w:t>
      </w:r>
    </w:p>
    <w:p w:rsidR="00000000" w:rsidDel="00000000" w:rsidP="00000000" w:rsidRDefault="00000000" w:rsidRPr="00000000" w14:paraId="000002BE">
      <w:pPr>
        <w:spacing w:before="200" w:lineRule="auto"/>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Wykonawca ma obowiązek ścisłej współpracy z Zamawiającym na każdym etapie realizacji zamówienia. Wykonawca powinien uwzględniać wszelkie uwagi i stanowiska Zamawiającego, które doprecyzowują lub uzupełniają niniejsze zapisy i nie są z nimi sprzeczne.</w:t>
      </w:r>
    </w:p>
    <w:p w:rsidR="00000000" w:rsidDel="00000000" w:rsidP="00000000" w:rsidRDefault="00000000" w:rsidRPr="00000000" w14:paraId="000002BF">
      <w:pPr>
        <w:spacing w:before="200" w:lineRule="auto"/>
        <w:jc w:val="both"/>
        <w:rPr>
          <w:rFonts w:ascii="Times New Roman" w:cs="Times New Roman" w:eastAsia="Times New Roman" w:hAnsi="Times New Roman"/>
          <w:sz w:val="24"/>
          <w:szCs w:val="24"/>
          <w:shd w:fill="cc8f33" w:val="clear"/>
        </w:rPr>
      </w:pPr>
      <w:r w:rsidDel="00000000" w:rsidR="00000000" w:rsidRPr="00000000">
        <w:rPr>
          <w:rFonts w:ascii="Times New Roman" w:cs="Times New Roman" w:eastAsia="Times New Roman" w:hAnsi="Times New Roman"/>
          <w:sz w:val="24"/>
          <w:szCs w:val="24"/>
          <w:highlight w:val="white"/>
          <w:rtl w:val="0"/>
        </w:rPr>
        <w:t xml:space="preserve">Wykonawca przedstawi Zamawiającemu koncepcję rozwiązań dla poszczególnych funkcjonalności, uwzględniającą wymagania niniejszego OPZ oraz propozycje własne Wykonawcy, które na podstawie wiedzy i doświadczenia, którym dysponuje, rekomenduje jako rozwiązania zapewniające największą funkcjonalność i efektywność tworzonego narzędzia. Ostateczne rozwiązania zastosowane w tworzonym oprogramowaniu zostaną uzgodnione między Zamawiającym a Wykonawcą.</w:t>
      </w:r>
      <w:r w:rsidDel="00000000" w:rsidR="00000000" w:rsidRPr="00000000">
        <w:rPr>
          <w:rtl w:val="0"/>
        </w:rPr>
      </w:r>
    </w:p>
    <w:p w:rsidR="00000000" w:rsidDel="00000000" w:rsidP="00000000" w:rsidRDefault="00000000" w:rsidRPr="00000000" w14:paraId="000002C0">
      <w:pP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Wykonawca ma obowiązek uczestniczenia w spotkaniach zorganizowanych przez Zamawiającego, których celem będzie omówienie postępów prac, zgłaszanie problemów oraz weryfikacja wykonanych zadań. Zamawiający zakłada, że spotkania będą organizowane nie rzadziej niż raz w miesiącu. Spotkania będą organizowane w formule on-line. W wyjątkowych przypadkach, w szczególności w sytuacjach:</w:t>
      </w:r>
    </w:p>
    <w:p w:rsidR="00000000" w:rsidDel="00000000" w:rsidP="00000000" w:rsidRDefault="00000000" w:rsidRPr="00000000" w14:paraId="000002C1">
      <w:pPr>
        <w:numPr>
          <w:ilvl w:val="0"/>
          <w:numId w:val="19"/>
        </w:numPr>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wystąpienia istotnych problemów technicznych, uniemożliwiających prawidłowe funkcjonowanie narzędzi, </w:t>
      </w:r>
    </w:p>
    <w:p w:rsidR="00000000" w:rsidDel="00000000" w:rsidP="00000000" w:rsidRDefault="00000000" w:rsidRPr="00000000" w14:paraId="000002C2">
      <w:pPr>
        <w:numPr>
          <w:ilvl w:val="0"/>
          <w:numId w:val="19"/>
        </w:numPr>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strategicznych zmian w realizacji przedmiotu zamówienia, które mają istotny wpływ na jego realizację i wymagają szczegółowej analizy i omówienia,</w:t>
      </w:r>
    </w:p>
    <w:p w:rsidR="00000000" w:rsidDel="00000000" w:rsidP="00000000" w:rsidRDefault="00000000" w:rsidRPr="00000000" w14:paraId="000002C3">
      <w:pPr>
        <w:numPr>
          <w:ilvl w:val="0"/>
          <w:numId w:val="19"/>
        </w:numPr>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konieczności przeprowadzenia intensywnych sesji warsztatowych, które wymagają bezpośredniej interakcji i współpracy zespołów,</w:t>
      </w:r>
    </w:p>
    <w:p w:rsidR="00000000" w:rsidDel="00000000" w:rsidP="00000000" w:rsidRDefault="00000000" w:rsidRPr="00000000" w14:paraId="000002C4">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Zamawiający zastrzega sobie możliwość zorganizowania, spotkania w siedzibie Zamawiającego. Zamawiający wystosuje do Wykonawcy pisemne (e-mail) zaproszenie na spotkanie w siedzibie Zamawiającego z co najmniej dwutygodniowym wyprzedzeniem, określając termin i cel spotkania.</w:t>
      </w:r>
    </w:p>
    <w:p w:rsidR="00000000" w:rsidDel="00000000" w:rsidP="00000000" w:rsidRDefault="00000000" w:rsidRPr="00000000" w14:paraId="000002C5">
      <w:pPr>
        <w:jc w:val="both"/>
        <w:rPr>
          <w:rFonts w:ascii="Times New Roman" w:cs="Times New Roman" w:eastAsia="Times New Roman" w:hAnsi="Times New Roman"/>
          <w:sz w:val="24"/>
          <w:szCs w:val="24"/>
          <w:highlight w:val="white"/>
        </w:rPr>
      </w:pPr>
      <w:r w:rsidDel="00000000" w:rsidR="00000000" w:rsidRPr="00000000">
        <w:rPr>
          <w:rtl w:val="0"/>
        </w:rPr>
      </w:r>
    </w:p>
    <w:p w:rsidR="00000000" w:rsidDel="00000000" w:rsidP="00000000" w:rsidRDefault="00000000" w:rsidRPr="00000000" w14:paraId="000002C6">
      <w:pPr>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Komunikacja Zamawiającego z Wykonawcą będzie się odbywała za pośrednictwem systemu Redmine udostępnionym przez Zamawiającego. Wykonawca ma obowiązek składać sprawozdanie z wykonanych prac, również w systemie Redmine.</w:t>
      </w:r>
    </w:p>
    <w:p w:rsidR="00000000" w:rsidDel="00000000" w:rsidP="00000000" w:rsidRDefault="00000000" w:rsidRPr="00000000" w14:paraId="000002C7">
      <w:pPr>
        <w:jc w:val="both"/>
        <w:rPr>
          <w:rFonts w:ascii="Times New Roman" w:cs="Times New Roman" w:eastAsia="Times New Roman" w:hAnsi="Times New Roman"/>
          <w:sz w:val="24"/>
          <w:szCs w:val="24"/>
          <w:highlight w:val="white"/>
        </w:rPr>
      </w:pPr>
      <w:r w:rsidDel="00000000" w:rsidR="00000000" w:rsidRPr="00000000">
        <w:rPr>
          <w:rtl w:val="0"/>
        </w:rPr>
      </w:r>
    </w:p>
    <w:p w:rsidR="00000000" w:rsidDel="00000000" w:rsidP="00000000" w:rsidRDefault="00000000" w:rsidRPr="00000000" w14:paraId="000002C8">
      <w:pPr>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Zamawiający zakłada, że prace zmierzające do oprogramowania narzędzia będą realizowane etapami, w ramach których Wykonawca przekaże kolejne moduły bądź wersje oprogramowania, które będą podlegały bieżącej ocenie Zamawiającego. Zamawiający wykona testy dostarczonego oprogramowania i przedstawi ocenę w terminie nie krótszym niż 5 dni roboczych. Kolejne wersje oprogramowania oraz poprawki Wykonawca będzie wprowadzał za pośrednictwem systemu GitLab. Struktura środowisk narzędzia GitLab wygląda następująco:</w:t>
      </w:r>
    </w:p>
    <w:p w:rsidR="00000000" w:rsidDel="00000000" w:rsidP="00000000" w:rsidRDefault="00000000" w:rsidRPr="00000000" w14:paraId="000002C9">
      <w:pPr>
        <w:numPr>
          <w:ilvl w:val="0"/>
          <w:numId w:val="15"/>
        </w:numPr>
        <w:ind w:left="720" w:hanging="36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środowisko deweloperskie</w:t>
      </w:r>
    </w:p>
    <w:p w:rsidR="00000000" w:rsidDel="00000000" w:rsidP="00000000" w:rsidRDefault="00000000" w:rsidRPr="00000000" w14:paraId="000002CA">
      <w:pPr>
        <w:numPr>
          <w:ilvl w:val="0"/>
          <w:numId w:val="15"/>
        </w:numPr>
        <w:ind w:left="720" w:hanging="36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środowisko integracyjne</w:t>
      </w:r>
    </w:p>
    <w:p w:rsidR="00000000" w:rsidDel="00000000" w:rsidP="00000000" w:rsidRDefault="00000000" w:rsidRPr="00000000" w14:paraId="000002CB">
      <w:pPr>
        <w:numPr>
          <w:ilvl w:val="0"/>
          <w:numId w:val="15"/>
        </w:numPr>
        <w:ind w:left="720" w:hanging="36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środowisko produkcyjne.</w:t>
      </w:r>
    </w:p>
    <w:p w:rsidR="00000000" w:rsidDel="00000000" w:rsidP="00000000" w:rsidRDefault="00000000" w:rsidRPr="00000000" w14:paraId="000002CC">
      <w:pPr>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Na potrzeby opracowania procesu CI/CD Wykonawca dostarczy procedurę instalacji oraz aktualizacji oprogramowania na serwerze.</w:t>
      </w:r>
    </w:p>
    <w:p w:rsidR="00000000" w:rsidDel="00000000" w:rsidP="00000000" w:rsidRDefault="00000000" w:rsidRPr="00000000" w14:paraId="000002CD">
      <w:pPr>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W pierwszej kolejności Wykonawca będzie wprowadzał paczki kodu źródłowego na środowisko deweloperskie. Następnie, po weryfikacji przez Zamawiającego, będą one przenoszone na środowisko integracyjne. Po wykonaniu przez Zamawiającego testów funkcjonalnych i stwierdzeniu braku błędów - paczki kodu będą wgrywane na środowisko produkcyjne. </w:t>
      </w:r>
    </w:p>
    <w:p w:rsidR="00000000" w:rsidDel="00000000" w:rsidP="00000000" w:rsidRDefault="00000000" w:rsidRPr="00000000" w14:paraId="000002CE">
      <w:pPr>
        <w:jc w:val="both"/>
        <w:rPr>
          <w:rFonts w:ascii="Times New Roman" w:cs="Times New Roman" w:eastAsia="Times New Roman" w:hAnsi="Times New Roman"/>
          <w:sz w:val="24"/>
          <w:szCs w:val="24"/>
          <w:highlight w:val="white"/>
        </w:rPr>
      </w:pPr>
      <w:r w:rsidDel="00000000" w:rsidR="00000000" w:rsidRPr="00000000">
        <w:rPr>
          <w:rtl w:val="0"/>
        </w:rPr>
      </w:r>
    </w:p>
    <w:p w:rsidR="00000000" w:rsidDel="00000000" w:rsidP="00000000" w:rsidRDefault="00000000" w:rsidRPr="00000000" w14:paraId="000002CF">
      <w:pPr>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Niezależnie od wskazanych wcześniej wymagań, Wykonawca jest zobowiązany do udzielania Zamawiającemu, na jego żądanie w dowolnej formie, wszelkich informacji o przebiegu realizacji zamówienia.</w:t>
      </w:r>
    </w:p>
    <w:p w:rsidR="00000000" w:rsidDel="00000000" w:rsidP="00000000" w:rsidRDefault="00000000" w:rsidRPr="00000000" w14:paraId="000002D0">
      <w:pPr>
        <w:jc w:val="both"/>
        <w:rPr>
          <w:rFonts w:ascii="Times New Roman" w:cs="Times New Roman" w:eastAsia="Times New Roman" w:hAnsi="Times New Roman"/>
          <w:sz w:val="24"/>
          <w:szCs w:val="24"/>
          <w:highlight w:val="white"/>
        </w:rPr>
      </w:pPr>
      <w:r w:rsidDel="00000000" w:rsidR="00000000" w:rsidRPr="00000000">
        <w:rPr>
          <w:rtl w:val="0"/>
        </w:rPr>
      </w:r>
    </w:p>
    <w:p w:rsidR="00000000" w:rsidDel="00000000" w:rsidP="00000000" w:rsidRDefault="00000000" w:rsidRPr="00000000" w14:paraId="000002D1">
      <w:pPr>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Szczegółowe warunki realizacji zamówienia zostaną ustalone z Wykonawcą po zawarciu umowy w trakcie spotkań roboczych.</w:t>
      </w:r>
    </w:p>
    <w:p w:rsidR="00000000" w:rsidDel="00000000" w:rsidP="00000000" w:rsidRDefault="00000000" w:rsidRPr="00000000" w14:paraId="000002D2">
      <w:pPr>
        <w:pStyle w:val="Heading1"/>
        <w:numPr>
          <w:ilvl w:val="0"/>
          <w:numId w:val="22"/>
        </w:numPr>
        <w:pBdr>
          <w:top w:space="0" w:sz="0" w:val="nil"/>
          <w:left w:space="0" w:sz="0" w:val="nil"/>
          <w:bottom w:space="0" w:sz="0" w:val="nil"/>
          <w:right w:space="0" w:sz="0" w:val="nil"/>
          <w:between w:space="0" w:sz="0" w:val="nil"/>
        </w:pBdr>
        <w:ind w:left="566" w:hanging="283"/>
        <w:rPr/>
      </w:pPr>
      <w:bookmarkStart w:colFirst="0" w:colLast="0" w:name="_heading=h.xvir7l" w:id="73"/>
      <w:bookmarkEnd w:id="73"/>
      <w:r w:rsidDel="00000000" w:rsidR="00000000" w:rsidRPr="00000000">
        <w:rPr>
          <w:rtl w:val="0"/>
        </w:rPr>
        <w:t xml:space="preserve">Roboczy harmonogram realizacji zamówienia</w:t>
      </w:r>
    </w:p>
    <w:p w:rsidR="00000000" w:rsidDel="00000000" w:rsidP="00000000" w:rsidRDefault="00000000" w:rsidRPr="00000000" w14:paraId="000002D3">
      <w:pPr>
        <w:numPr>
          <w:ilvl w:val="0"/>
          <w:numId w:val="7"/>
        </w:numPr>
        <w:pBdr>
          <w:top w:space="0" w:sz="0" w:val="nil"/>
          <w:left w:space="0" w:sz="0" w:val="nil"/>
          <w:bottom w:space="0" w:sz="0" w:val="nil"/>
          <w:right w:space="0" w:sz="0" w:val="nil"/>
          <w:between w:space="0" w:sz="0" w:val="nil"/>
        </w:pBdr>
        <w:spacing w:after="240" w:before="200" w:lineRule="auto"/>
        <w:ind w:left="567" w:hanging="44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Planowany okres realizacji zamówienia: od podpisania umowy do 30.06.2026 r. </w:t>
      </w:r>
    </w:p>
    <w:p w:rsidR="00000000" w:rsidDel="00000000" w:rsidP="00000000" w:rsidRDefault="00000000" w:rsidRPr="00000000" w14:paraId="000002D4">
      <w:pPr>
        <w:numPr>
          <w:ilvl w:val="0"/>
          <w:numId w:val="7"/>
        </w:numPr>
        <w:spacing w:after="240" w:before="200" w:lineRule="auto"/>
        <w:ind w:left="566" w:hanging="42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Realizacja zamówienia składa się z dwóch części: </w:t>
      </w:r>
    </w:p>
    <w:p w:rsidR="00000000" w:rsidDel="00000000" w:rsidP="00000000" w:rsidRDefault="00000000" w:rsidRPr="00000000" w14:paraId="000002D5">
      <w:pPr>
        <w:spacing w:after="240" w:before="200" w:lineRule="auto"/>
        <w:ind w:left="566"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część pierwsza: oprogramowanie, przetestowanie, uruchomienie narzędzia i jego odbiór,</w:t>
      </w:r>
    </w:p>
    <w:p w:rsidR="00000000" w:rsidDel="00000000" w:rsidP="00000000" w:rsidRDefault="00000000" w:rsidRPr="00000000" w14:paraId="000002D6">
      <w:pPr>
        <w:spacing w:after="240" w:before="200" w:lineRule="auto"/>
        <w:ind w:left="566"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 część druga: rozwój narzędzia po jego odbiorze - okres asysty technicznej.</w:t>
      </w:r>
    </w:p>
    <w:p w:rsidR="00000000" w:rsidDel="00000000" w:rsidP="00000000" w:rsidRDefault="00000000" w:rsidRPr="00000000" w14:paraId="000002D7">
      <w:pPr>
        <w:numPr>
          <w:ilvl w:val="0"/>
          <w:numId w:val="7"/>
        </w:numPr>
        <w:spacing w:after="240" w:before="200" w:lineRule="auto"/>
        <w:ind w:left="567" w:hanging="44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Zamawiający zakłada, że odbiór narzędzia, kończący pierwszą część realizacji zamówienia, nastąpi nie później niż 30.06.2025 r.  </w:t>
      </w:r>
    </w:p>
    <w:p w:rsidR="00000000" w:rsidDel="00000000" w:rsidP="00000000" w:rsidRDefault="00000000" w:rsidRPr="00000000" w14:paraId="000002D8">
      <w:pPr>
        <w:numPr>
          <w:ilvl w:val="0"/>
          <w:numId w:val="7"/>
        </w:numPr>
        <w:spacing w:after="240" w:before="200" w:lineRule="auto"/>
        <w:ind w:left="567" w:hanging="44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 ciągu 5 dni roboczych od podpisania umowy odbędzie się pierwsze spotkanie, na którym zostanie ustalony zakres prac i szczegółowe warunki realizacji zamówienia oraz współpracy Wykonawcy z Zamawiającym. Spotkanie będzie realizowane w formule online.</w:t>
      </w:r>
    </w:p>
    <w:p w:rsidR="00000000" w:rsidDel="00000000" w:rsidP="00000000" w:rsidRDefault="00000000" w:rsidRPr="00000000" w14:paraId="000002D9">
      <w:pPr>
        <w:numPr>
          <w:ilvl w:val="0"/>
          <w:numId w:val="7"/>
        </w:numPr>
        <w:spacing w:after="240" w:before="200" w:lineRule="auto"/>
        <w:ind w:left="567" w:hanging="44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 ciągu 5 dni od spotkania, o którym mowa w pkt 4, Wykonawca przedstawi Zamawiającemu ostateczny harmonogram realizacji pierwszej części zamówienia. Ostateczny harmonogram realizacji zamówienia powinien opierać się na wstępnym harmonogramie realizacji zamówienia przedstawionym przez Wykonawcę w ofercie. Zmiany w stosunku do wstępnego harmonogramu realizacji zamówienia mogą wynikać w szczególności z dostosowania terminów realizacji zamówienia do terminu zawarcia umowy z Wykonawcą oraz z ustaleń z Zamawiającym podczas pierwszego spotkania dotyczących np. uwzględnienia w harmonogramie działań, które nie zostały uwzględnione we wstępnym harmonogramie. Ostateczny harmonogram realizacji zamówienia może, w wyniku ustaleń z Zamawiającym, ulec wydłużeniu w stosunku do wstępnego harmonogramu przedstawionego przez Wykonawcę w ofercie nie więcej jednak niż o 10% czasu przewidzianego na realizację pierwszego etapu zamówienia we wstępnym harmonogramie i nie dłużej niż do 30.06.2025 r. </w:t>
      </w:r>
    </w:p>
    <w:p w:rsidR="00000000" w:rsidDel="00000000" w:rsidP="00000000" w:rsidRDefault="00000000" w:rsidRPr="00000000" w14:paraId="000002DA">
      <w:pPr>
        <w:numPr>
          <w:ilvl w:val="0"/>
          <w:numId w:val="7"/>
        </w:numPr>
        <w:ind w:left="566"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Po przekazaniu przez Wykonawcę przekaże kolejnych modułów bądź wersji oprogramowania, Zamawiający przeprowadzi jego testy oraz przedstawi Wykonawcy ocenę przedstawionych rozwiązań.</w:t>
      </w:r>
      <w:r w:rsidDel="00000000" w:rsidR="00000000" w:rsidRPr="00000000">
        <w:rPr>
          <w:rtl w:val="0"/>
        </w:rPr>
      </w:r>
    </w:p>
    <w:p w:rsidR="00000000" w:rsidDel="00000000" w:rsidP="00000000" w:rsidRDefault="00000000" w:rsidRPr="00000000" w14:paraId="000002DB">
      <w:pPr>
        <w:numPr>
          <w:ilvl w:val="0"/>
          <w:numId w:val="7"/>
        </w:numPr>
        <w:spacing w:after="240" w:before="200" w:lineRule="auto"/>
        <w:ind w:left="567" w:hanging="44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 przygotowaniu pełnej wersji oprogramowania narzędzia Wykonawca zgłosi gotowość do przekazania go do testów bezpieczeństwa.</w:t>
      </w:r>
    </w:p>
    <w:p w:rsidR="00000000" w:rsidDel="00000000" w:rsidP="00000000" w:rsidRDefault="00000000" w:rsidRPr="00000000" w14:paraId="000002DC">
      <w:pPr>
        <w:numPr>
          <w:ilvl w:val="0"/>
          <w:numId w:val="7"/>
        </w:numPr>
        <w:spacing w:after="240" w:before="200" w:lineRule="auto"/>
        <w:ind w:left="567" w:hanging="44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 wykonaniu testów bezpieczeństwa Wykonawca dokona ewentualnych poprawek, a następnie przedstawi narzędzie do odbioru.</w:t>
      </w:r>
    </w:p>
    <w:p w:rsidR="00000000" w:rsidDel="00000000" w:rsidP="00000000" w:rsidRDefault="00000000" w:rsidRPr="00000000" w14:paraId="000002DD">
      <w:pPr>
        <w:numPr>
          <w:ilvl w:val="0"/>
          <w:numId w:val="7"/>
        </w:numPr>
        <w:spacing w:after="240" w:before="200" w:lineRule="auto"/>
        <w:ind w:left="567" w:hanging="44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 odebraniu narzędzia rozpoczyna się drugi część realizacji zamówienia - asysta techniczna. </w:t>
      </w:r>
    </w:p>
    <w:p w:rsidR="00000000" w:rsidDel="00000000" w:rsidP="00000000" w:rsidRDefault="00000000" w:rsidRPr="00000000" w14:paraId="000002DE">
      <w:pPr>
        <w:pStyle w:val="Heading1"/>
        <w:numPr>
          <w:ilvl w:val="0"/>
          <w:numId w:val="22"/>
        </w:numPr>
        <w:pBdr>
          <w:top w:space="0" w:sz="0" w:val="nil"/>
          <w:left w:space="0" w:sz="0" w:val="nil"/>
          <w:bottom w:space="0" w:sz="0" w:val="nil"/>
          <w:right w:space="0" w:sz="0" w:val="nil"/>
          <w:between w:space="0" w:sz="0" w:val="nil"/>
        </w:pBdr>
        <w:ind w:left="566" w:hanging="283"/>
        <w:rPr/>
      </w:pPr>
      <w:bookmarkStart w:colFirst="0" w:colLast="0" w:name="_heading=h.3hv69ve" w:id="74"/>
      <w:bookmarkEnd w:id="74"/>
      <w:r w:rsidDel="00000000" w:rsidR="00000000" w:rsidRPr="00000000">
        <w:rPr>
          <w:rtl w:val="0"/>
        </w:rPr>
        <w:t xml:space="preserve"> Płatności</w:t>
      </w:r>
    </w:p>
    <w:p w:rsidR="00000000" w:rsidDel="00000000" w:rsidP="00000000" w:rsidRDefault="00000000" w:rsidRPr="00000000" w14:paraId="000002DF">
      <w:pPr>
        <w:spacing w:after="240" w:befor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Na wniosek Wykonawcy możliwe jest wypłacenie zaliczki w wysokości do 20% wartości I etapu. </w:t>
      </w:r>
    </w:p>
    <w:p w:rsidR="00000000" w:rsidDel="00000000" w:rsidP="00000000" w:rsidRDefault="00000000" w:rsidRPr="00000000" w14:paraId="000002E0">
      <w:pPr>
        <w:spacing w:after="200" w:before="240" w:lineRule="auto"/>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Po dokonaniu odbioru narzędzia, potwierdzonego podpisaniem protokołu zdawczo-odbiorczego, Zamawiający dokona zapłaty za wykonanie narzędzia na podstawie faktury VAT wystawionej przez Wykonawcę. </w:t>
      </w:r>
    </w:p>
    <w:p w:rsidR="00000000" w:rsidDel="00000000" w:rsidP="00000000" w:rsidRDefault="00000000" w:rsidRPr="00000000" w14:paraId="000002E1">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Następująca po dokonaniu odbioru narzędzia realizacja godzin asysty technicznej rozliczana będzie w okresach miesięcznych. Zamawiający dokona zapłaty za godziny realizowane w danym miesiącu zgodnie ze stawką określoną przez Wykonawcę w ofercie. Zamawiający nie dokona płatności, jeżeli w danym miesiącu Wykonawca nie realizował żadnych prac. Zamawiający dokona płatności tylko za wykorzystane godziny asysty technicznej. Płatność za wykonane prace programistyczne w ramach asysty technicznej dokonywana będzie co miesiąc na podstawie rozliczenia godzin zrealizowanych przez Wykonawcę w danym miesiącu. Podstawą do wystawienia faktury VAT jest protokół zdawczo-odbiorczy, potwierdzający przekazanie przez Wykonawcę raportu z prac wykonanych w danym miesiącu, obejmującego liczbę godzin poświęconych na wykonanie usługi w danym miesiącu oraz krótki opis wykonanych prac. </w:t>
      </w:r>
    </w:p>
    <w:p w:rsidR="00000000" w:rsidDel="00000000" w:rsidP="00000000" w:rsidRDefault="00000000" w:rsidRPr="00000000" w14:paraId="000002E2">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Strony mogą ustalić w drodze udokumentowanych ustaleń roboczych inny tryb rozliczania wynagrodzenia z tytułu asysty technicznej.</w:t>
      </w:r>
    </w:p>
    <w:p w:rsidR="00000000" w:rsidDel="00000000" w:rsidP="00000000" w:rsidRDefault="00000000" w:rsidRPr="00000000" w14:paraId="000002E3">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Płatność nastąpi w terminie 14 dni kalendarzowych od dostarczenia prawidłowo wystawionej FV/rachunku do siedziby Zamawiającego.</w:t>
      </w:r>
    </w:p>
    <w:p w:rsidR="00000000" w:rsidDel="00000000" w:rsidP="00000000" w:rsidRDefault="00000000" w:rsidRPr="00000000" w14:paraId="000002E4">
      <w:pPr>
        <w:spacing w:after="240" w:before="200" w:lineRule="auto"/>
        <w:ind w:left="1440" w:firstLine="0"/>
        <w:jc w:val="both"/>
        <w:rPr>
          <w:rFonts w:ascii="Times New Roman" w:cs="Times New Roman" w:eastAsia="Times New Roman" w:hAnsi="Times New Roman"/>
          <w:sz w:val="24"/>
          <w:szCs w:val="24"/>
        </w:rPr>
      </w:pPr>
      <w:bookmarkStart w:colFirst="0" w:colLast="0" w:name="_heading=h.1x0gk37" w:id="75"/>
      <w:bookmarkEnd w:id="75"/>
      <w:r w:rsidDel="00000000" w:rsidR="00000000" w:rsidRPr="00000000">
        <w:br w:type="page"/>
      </w:r>
      <w:r w:rsidDel="00000000" w:rsidR="00000000" w:rsidRPr="00000000">
        <w:rPr>
          <w:rtl w:val="0"/>
        </w:rPr>
      </w:r>
    </w:p>
    <w:p w:rsidR="00000000" w:rsidDel="00000000" w:rsidP="00000000" w:rsidRDefault="00000000" w:rsidRPr="00000000" w14:paraId="000002E5">
      <w:pPr>
        <w:pStyle w:val="Heading1"/>
        <w:ind w:left="0" w:firstLine="0"/>
        <w:rPr/>
      </w:pPr>
      <w:r w:rsidDel="00000000" w:rsidR="00000000" w:rsidRPr="00000000">
        <w:rPr>
          <w:rtl w:val="0"/>
        </w:rPr>
        <w:t xml:space="preserve">Załącznik 1. Dodatkowe uszczegółowienie niektórych wymagań</w:t>
      </w:r>
    </w:p>
    <w:p w:rsidR="00000000" w:rsidDel="00000000" w:rsidP="00000000" w:rsidRDefault="00000000" w:rsidRPr="00000000" w14:paraId="000002E6">
      <w:pPr>
        <w:numPr>
          <w:ilvl w:val="0"/>
          <w:numId w:val="14"/>
        </w:numPr>
        <w:spacing w:after="240" w:before="200" w:lineRule="auto"/>
        <w:ind w:left="720" w:hanging="360"/>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Sposób wypełniania pola “Komentarz” </w:t>
      </w:r>
    </w:p>
    <w:p w:rsidR="00000000" w:rsidDel="00000000" w:rsidP="00000000" w:rsidRDefault="00000000" w:rsidRPr="00000000" w14:paraId="000002E7">
      <w:pPr>
        <w:pBdr>
          <w:top w:space="0" w:sz="0" w:val="nil"/>
          <w:left w:space="0" w:sz="0" w:val="nil"/>
          <w:bottom w:space="0" w:sz="0" w:val="nil"/>
          <w:right w:space="0" w:sz="0" w:val="nil"/>
          <w:between w:space="0" w:sz="0" w:val="nil"/>
        </w:pBd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 tabelach “Lista – wnioski rozpatrywane”, “Lista – kwalifikacje funkcjonujące, umowa z PZZJ” oraz “Lista – wnioski rozpatrzone neg” znajduje się pole “Komentarz”. Jest ono wypełniane dla każdego wniosku - informacje wpisywane są narastająco, w miarę procedowania wniosku dotyczącego konkretnej kwalifikacji. </w:t>
      </w:r>
    </w:p>
    <w:p w:rsidR="00000000" w:rsidDel="00000000" w:rsidP="00000000" w:rsidRDefault="00000000" w:rsidRPr="00000000" w14:paraId="000002E8">
      <w:pPr>
        <w:pBdr>
          <w:top w:space="0" w:sz="0" w:val="nil"/>
          <w:left w:space="0" w:sz="0" w:val="nil"/>
          <w:bottom w:space="0" w:sz="0" w:val="nil"/>
          <w:right w:space="0" w:sz="0" w:val="nil"/>
          <w:between w:space="0" w:sz="0" w:val="nil"/>
        </w:pBd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Zamawiający oczekuje, że w narzędziu zostaną zaimplementowane mechanizmy wspierające wypełnianie tego pola przez użytkowników:</w:t>
      </w:r>
    </w:p>
    <w:p w:rsidR="00000000" w:rsidDel="00000000" w:rsidP="00000000" w:rsidRDefault="00000000" w:rsidRPr="00000000" w14:paraId="000002E9">
      <w:pPr>
        <w:numPr>
          <w:ilvl w:val="0"/>
          <w:numId w:val="15"/>
        </w:numPr>
        <w:pBdr>
          <w:top w:space="0" w:sz="0" w:val="nil"/>
          <w:left w:space="0" w:sz="0" w:val="nil"/>
          <w:bottom w:space="0" w:sz="0" w:val="nil"/>
          <w:right w:space="0" w:sz="0" w:val="nil"/>
          <w:between w:space="0" w:sz="0" w:val="nil"/>
        </w:pBdr>
        <w:ind w:left="720" w:hanging="36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po zmianie statusu wniosku, w polu “Komentarz” automatycznie zostanie zapisana informacja-nazwa aktualnego statusu oraz data, w której status został zmieniony;</w:t>
      </w:r>
    </w:p>
    <w:p w:rsidR="00000000" w:rsidDel="00000000" w:rsidP="00000000" w:rsidRDefault="00000000" w:rsidRPr="00000000" w14:paraId="000002EA">
      <w:pPr>
        <w:numPr>
          <w:ilvl w:val="0"/>
          <w:numId w:val="15"/>
        </w:numPr>
        <w:pBdr>
          <w:top w:space="0" w:sz="0" w:val="nil"/>
          <w:left w:space="0" w:sz="0" w:val="nil"/>
          <w:bottom w:space="0" w:sz="0" w:val="nil"/>
          <w:right w:space="0" w:sz="0" w:val="nil"/>
          <w:between w:space="0" w:sz="0" w:val="nil"/>
        </w:pBdr>
        <w:ind w:left="720" w:hanging="36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nad informacją o statusie będzie możliwość wpisania przez użytkownika dodatkowych informacji;</w:t>
      </w:r>
    </w:p>
    <w:p w:rsidR="00000000" w:rsidDel="00000000" w:rsidP="00000000" w:rsidRDefault="00000000" w:rsidRPr="00000000" w14:paraId="000002EB">
      <w:pPr>
        <w:numPr>
          <w:ilvl w:val="0"/>
          <w:numId w:val="15"/>
        </w:numPr>
        <w:pBdr>
          <w:top w:space="0" w:sz="0" w:val="nil"/>
          <w:left w:space="0" w:sz="0" w:val="nil"/>
          <w:bottom w:space="0" w:sz="0" w:val="nil"/>
          <w:right w:space="0" w:sz="0" w:val="nil"/>
          <w:between w:space="0" w:sz="0" w:val="nil"/>
        </w:pBdr>
        <w:ind w:left="720" w:hanging="36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wpisywanie dodatkowych informacji przez użytkownika będzie wspierane przez podpowiedzi słownikowe w postaci najczęściej używanych fraz;</w:t>
      </w:r>
    </w:p>
    <w:p w:rsidR="00000000" w:rsidDel="00000000" w:rsidP="00000000" w:rsidRDefault="00000000" w:rsidRPr="00000000" w14:paraId="000002EC">
      <w:pPr>
        <w:numPr>
          <w:ilvl w:val="0"/>
          <w:numId w:val="15"/>
        </w:numPr>
        <w:pBdr>
          <w:top w:space="0" w:sz="0" w:val="nil"/>
          <w:left w:space="0" w:sz="0" w:val="nil"/>
          <w:bottom w:space="0" w:sz="0" w:val="nil"/>
          <w:right w:space="0" w:sz="0" w:val="nil"/>
          <w:between w:space="0" w:sz="0" w:val="nil"/>
        </w:pBdr>
        <w:ind w:left="720" w:hanging="36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użytkownicy będą mieli możliwość dodawania kolejnych podpowiedzi do słownika najczęściej używanych fraz - podpowiedzi te będą dostępne dla innych użytkowników;</w:t>
      </w:r>
    </w:p>
    <w:p w:rsidR="00000000" w:rsidDel="00000000" w:rsidP="00000000" w:rsidRDefault="00000000" w:rsidRPr="00000000" w14:paraId="000002ED">
      <w:pPr>
        <w:numPr>
          <w:ilvl w:val="0"/>
          <w:numId w:val="15"/>
        </w:numPr>
        <w:pBdr>
          <w:top w:space="0" w:sz="0" w:val="nil"/>
          <w:left w:space="0" w:sz="0" w:val="nil"/>
          <w:bottom w:space="0" w:sz="0" w:val="nil"/>
          <w:right w:space="0" w:sz="0" w:val="nil"/>
          <w:between w:space="0" w:sz="0" w:val="nil"/>
        </w:pBdr>
        <w:spacing w:after="200" w:lineRule="auto"/>
        <w:ind w:left="720" w:hanging="36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informacje w polu “Komentarz” będą wyświetlane w ten sposób, że na górze znajdą się informacje najbardziej aktualne, na dole informacje najstarsze (wprowadzone na początku). W takim samym układzie będą pobierane informacje do odpowiednich tabel w raporcie “Zintegrowana Tabela Monitorująca”.</w:t>
      </w:r>
    </w:p>
    <w:p w:rsidR="00000000" w:rsidDel="00000000" w:rsidP="00000000" w:rsidRDefault="00000000" w:rsidRPr="00000000" w14:paraId="000002EE">
      <w:pPr>
        <w:numPr>
          <w:ilvl w:val="0"/>
          <w:numId w:val="14"/>
        </w:numPr>
        <w:pBdr>
          <w:top w:space="0" w:sz="0" w:val="nil"/>
          <w:left w:space="0" w:sz="0" w:val="nil"/>
          <w:bottom w:space="0" w:sz="0" w:val="nil"/>
          <w:right w:space="0" w:sz="0" w:val="nil"/>
          <w:between w:space="0" w:sz="0" w:val="nil"/>
        </w:pBdr>
        <w:spacing w:after="240" w:before="200" w:lineRule="auto"/>
        <w:ind w:left="720" w:hanging="360"/>
        <w:jc w:val="both"/>
        <w:rPr>
          <w:rFonts w:ascii="Times New Roman" w:cs="Times New Roman" w:eastAsia="Times New Roman" w:hAnsi="Times New Roman"/>
          <w:b w:val="1"/>
          <w:sz w:val="34"/>
          <w:szCs w:val="34"/>
        </w:rPr>
      </w:pPr>
      <w:r w:rsidDel="00000000" w:rsidR="00000000" w:rsidRPr="00000000">
        <w:rPr>
          <w:rFonts w:ascii="Times New Roman" w:cs="Times New Roman" w:eastAsia="Times New Roman" w:hAnsi="Times New Roman"/>
          <w:b w:val="1"/>
          <w:color w:val="000000"/>
          <w:sz w:val="28"/>
          <w:szCs w:val="28"/>
          <w:rtl w:val="0"/>
        </w:rPr>
        <w:t xml:space="preserve">Możliwość importowania informacji z kalendarza Google do Tabeli Monitorującej</w:t>
      </w:r>
      <w:r w:rsidDel="00000000" w:rsidR="00000000" w:rsidRPr="00000000">
        <w:rPr>
          <w:rtl w:val="0"/>
        </w:rPr>
      </w:r>
    </w:p>
    <w:p w:rsidR="00000000" w:rsidDel="00000000" w:rsidP="00000000" w:rsidRDefault="00000000" w:rsidRPr="00000000" w14:paraId="000002EF">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Pracownicy IBE korzystają z kalendarza Google jako narzędzia wspomagającego organizację pracy. Zapisywane są w nich m.in. planowane spotkania, w tym spotkania związane z poszczególnymi etapami włączania kwalifikacji do ZSK. </w:t>
      </w:r>
    </w:p>
    <w:p w:rsidR="00000000" w:rsidDel="00000000" w:rsidP="00000000" w:rsidRDefault="00000000" w:rsidRPr="00000000" w14:paraId="000002F0">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Pożądane byłoby stworzenie mechanizmu, który pozwalałby na przeszukiwanie kalendarzy wskazanych pracowników IBE (grupa kilku osób) pod kątem wyszukania w nich wydarzeń o określonych tytułach i zapisywanie informacji o tych wydarzeniach w polu “Komentarz” w Tabeli Monitorującej. Zamawiający zakłada, że w toku współpracy z Wykonawcą ustalony zostanie sposób opisywania w kalendarzu wydarzeń (np. nadawania tytułów), tak by możliwe było jednoznaczne zidentyfikowanie właściwego wydarzenia oraz przypisanie komentarza do właściwej kwalifikacji oraz treść (zawartość) informacji wpisywanej w polu “Komentarz”.  </w:t>
      </w:r>
    </w:p>
    <w:sectPr>
      <w:headerReference r:id="rId11" w:type="default"/>
      <w:footerReference r:id="rId12" w:type="default"/>
      <w:pgSz w:h="16834" w:w="11909" w:orient="portrait"/>
      <w:pgMar w:bottom="1440" w:top="1440" w:left="1417"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F2">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F1">
    <w:pPr>
      <w:ind w:left="-426" w:firstLine="0"/>
      <w:rPr/>
    </w:pPr>
    <w:r w:rsidDel="00000000" w:rsidR="00000000" w:rsidRPr="00000000">
      <w:rPr/>
      <w:drawing>
        <wp:inline distB="0" distT="0" distL="0" distR="0">
          <wp:extent cx="6160370" cy="1046284"/>
          <wp:effectExtent b="0" l="0" r="0" t="0"/>
          <wp:docPr descr="C:\Users\ZRK2-KB\Downloads\ZSK_belka_bw.png" id="2" name="image1.png"/>
          <a:graphic>
            <a:graphicData uri="http://schemas.openxmlformats.org/drawingml/2006/picture">
              <pic:pic>
                <pic:nvPicPr>
                  <pic:cNvPr descr="C:\Users\ZRK2-KB\Downloads\ZSK_belka_bw.png" id="0" name="image1.png"/>
                  <pic:cNvPicPr preferRelativeResize="0"/>
                </pic:nvPicPr>
                <pic:blipFill>
                  <a:blip r:embed="rId1"/>
                  <a:srcRect b="0" l="0" r="0" t="0"/>
                  <a:stretch>
                    <a:fillRect/>
                  </a:stretch>
                </pic:blipFill>
                <pic:spPr>
                  <a:xfrm>
                    <a:off x="0" y="0"/>
                    <a:ext cx="6160370" cy="1046284"/>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763"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lvl w:ilvl="0">
      <w:start w:val="1"/>
      <w:numFmt w:val="decimal"/>
      <w:lvlText w:val="%1."/>
      <w:lvlJc w:val="left"/>
      <w:pPr>
        <w:ind w:left="720" w:hanging="360"/>
      </w:pPr>
      <w:rPr>
        <w:sz w:val="22"/>
        <w:szCs w:val="22"/>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lvl w:ilvl="0">
      <w:start w:val="1"/>
      <w:numFmt w:val="decimal"/>
      <w:lvlText w:val="%1."/>
      <w:lvlJc w:val="right"/>
      <w:pPr>
        <w:ind w:left="566" w:hanging="283"/>
      </w:pPr>
      <w:rPr/>
    </w:lvl>
    <w:lvl w:ilvl="1">
      <w:start w:val="1"/>
      <w:numFmt w:val="decimal"/>
      <w:lvlText w:val="%1.%2."/>
      <w:lvlJc w:val="right"/>
      <w:pPr>
        <w:ind w:left="566" w:hanging="283"/>
      </w:pPr>
      <w:rPr/>
    </w:lvl>
    <w:lvl w:ilvl="2">
      <w:start w:val="1"/>
      <w:numFmt w:val="decimal"/>
      <w:lvlText w:val="%1.%2.%3."/>
      <w:lvlJc w:val="right"/>
      <w:pPr>
        <w:ind w:left="566" w:hanging="141"/>
      </w:pPr>
      <w:rPr>
        <w:rFonts w:ascii="Times New Roman" w:cs="Times New Roman" w:eastAsia="Times New Roman" w:hAnsi="Times New Roman"/>
        <w:b w:val="1"/>
      </w:rPr>
    </w:lvl>
    <w:lvl w:ilvl="3">
      <w:start w:val="1"/>
      <w:numFmt w:val="decimal"/>
      <w:lvlText w:val="%1.%2.%3.%4."/>
      <w:lvlJc w:val="right"/>
      <w:pPr>
        <w:ind w:left="1440" w:hanging="1080"/>
      </w:pPr>
      <w:rPr/>
    </w:lvl>
    <w:lvl w:ilvl="4">
      <w:start w:val="1"/>
      <w:numFmt w:val="decimal"/>
      <w:lvlText w:val="%1.%2.%3.%4.%5."/>
      <w:lvlJc w:val="right"/>
      <w:pPr>
        <w:ind w:left="1800" w:hanging="1440"/>
      </w:pPr>
      <w:rPr/>
    </w:lvl>
    <w:lvl w:ilvl="5">
      <w:start w:val="1"/>
      <w:numFmt w:val="decimal"/>
      <w:lvlText w:val="%1.%2.%3.%4.%5.%6."/>
      <w:lvlJc w:val="right"/>
      <w:pPr>
        <w:ind w:left="1800" w:hanging="1440"/>
      </w:pPr>
      <w:rPr/>
    </w:lvl>
    <w:lvl w:ilvl="6">
      <w:start w:val="1"/>
      <w:numFmt w:val="decimal"/>
      <w:lvlText w:val="%1.%2.%3.%4.%5.%6.%7."/>
      <w:lvlJc w:val="right"/>
      <w:pPr>
        <w:ind w:left="2160" w:hanging="1800"/>
      </w:pPr>
      <w:rPr/>
    </w:lvl>
    <w:lvl w:ilvl="7">
      <w:start w:val="1"/>
      <w:numFmt w:val="decimal"/>
      <w:lvlText w:val="%1.%2.%3.%4.%5.%6.%7.%8."/>
      <w:lvlJc w:val="right"/>
      <w:pPr>
        <w:ind w:left="2520" w:hanging="2160"/>
      </w:pPr>
      <w:rPr/>
    </w:lvl>
    <w:lvl w:ilvl="8">
      <w:start w:val="1"/>
      <w:numFmt w:val="decimal"/>
      <w:lvlText w:val="%1.%2.%3.%4.%5.%6.%7.%8.%9."/>
      <w:lvlJc w:val="right"/>
      <w:pPr>
        <w:ind w:left="2520" w:hanging="2160"/>
      </w:pPr>
      <w:rPr/>
    </w:lvl>
  </w:abstractNum>
  <w:abstractNum w:abstractNumId="1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lvl w:ilvl="0">
      <w:start w:val="1"/>
      <w:numFmt w:val="decimal"/>
      <w:lvlText w:val="%1."/>
      <w:lvlJc w:val="right"/>
      <w:pPr>
        <w:ind w:left="566" w:hanging="283"/>
      </w:pPr>
      <w:rPr/>
    </w:lvl>
    <w:lvl w:ilvl="1">
      <w:start w:val="1"/>
      <w:numFmt w:val="decimal"/>
      <w:lvlText w:val="%1.%2."/>
      <w:lvlJc w:val="right"/>
      <w:pPr>
        <w:ind w:left="566" w:hanging="283"/>
      </w:pPr>
      <w:rPr/>
    </w:lvl>
    <w:lvl w:ilvl="2">
      <w:start w:val="1"/>
      <w:numFmt w:val="decimal"/>
      <w:lvlText w:val="%1.%2.%3."/>
      <w:lvlJc w:val="right"/>
      <w:pPr>
        <w:ind w:left="566" w:hanging="141"/>
      </w:pPr>
      <w:rPr>
        <w:rFonts w:ascii="Times New Roman" w:cs="Times New Roman" w:eastAsia="Times New Roman" w:hAnsi="Times New Roman"/>
        <w:b w:val="1"/>
      </w:rPr>
    </w:lvl>
    <w:lvl w:ilvl="3">
      <w:start w:val="1"/>
      <w:numFmt w:val="decimal"/>
      <w:lvlText w:val="%1.%2.%3.%4."/>
      <w:lvlJc w:val="right"/>
      <w:pPr>
        <w:ind w:left="1440" w:hanging="1080"/>
      </w:pPr>
      <w:rPr/>
    </w:lvl>
    <w:lvl w:ilvl="4">
      <w:start w:val="1"/>
      <w:numFmt w:val="decimal"/>
      <w:lvlText w:val="%1.%2.%3.%4.%5."/>
      <w:lvlJc w:val="right"/>
      <w:pPr>
        <w:ind w:left="1800" w:hanging="1440"/>
      </w:pPr>
      <w:rPr/>
    </w:lvl>
    <w:lvl w:ilvl="5">
      <w:start w:val="1"/>
      <w:numFmt w:val="decimal"/>
      <w:lvlText w:val="%1.%2.%3.%4.%5.%6."/>
      <w:lvlJc w:val="right"/>
      <w:pPr>
        <w:ind w:left="1800" w:hanging="1440"/>
      </w:pPr>
      <w:rPr/>
    </w:lvl>
    <w:lvl w:ilvl="6">
      <w:start w:val="1"/>
      <w:numFmt w:val="decimal"/>
      <w:lvlText w:val="%1.%2.%3.%4.%5.%6.%7."/>
      <w:lvlJc w:val="right"/>
      <w:pPr>
        <w:ind w:left="2160" w:hanging="1800"/>
      </w:pPr>
      <w:rPr/>
    </w:lvl>
    <w:lvl w:ilvl="7">
      <w:start w:val="1"/>
      <w:numFmt w:val="decimal"/>
      <w:lvlText w:val="%1.%2.%3.%4.%5.%6.%7.%8."/>
      <w:lvlJc w:val="right"/>
      <w:pPr>
        <w:ind w:left="2520" w:hanging="2160"/>
      </w:pPr>
      <w:rPr/>
    </w:lvl>
    <w:lvl w:ilvl="8">
      <w:start w:val="1"/>
      <w:numFmt w:val="decimal"/>
      <w:lvlText w:val="%1.%2.%3.%4.%5.%6.%7.%8.%9."/>
      <w:lvlJc w:val="right"/>
      <w:pPr>
        <w:ind w:left="2520" w:hanging="2160"/>
      </w:pPr>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pl"/>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ind w:left="566" w:hanging="283"/>
    </w:pPr>
    <w:rPr>
      <w:rFonts w:ascii="Times New Roman" w:cs="Times New Roman" w:eastAsia="Times New Roman" w:hAnsi="Times New Roman"/>
      <w:b w:val="1"/>
      <w:sz w:val="36"/>
      <w:szCs w:val="36"/>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200" w:before="320" w:lineRule="auto"/>
      <w:ind w:left="566" w:hanging="141"/>
    </w:pPr>
    <w:rPr>
      <w:rFonts w:ascii="Times New Roman" w:cs="Times New Roman" w:eastAsia="Times New Roman" w:hAnsi="Times New Roman"/>
      <w:b w:val="1"/>
      <w:color w:val="434343"/>
      <w:sz w:val="28"/>
      <w:szCs w:val="28"/>
    </w:rPr>
  </w:style>
  <w:style w:type="paragraph" w:styleId="Heading4">
    <w:name w:val="heading 4"/>
    <w:basedOn w:val="Normal"/>
    <w:next w:val="Normal"/>
    <w:pPr>
      <w:keepNext w:val="1"/>
      <w:keepLines w:val="1"/>
      <w:spacing w:after="200" w:lineRule="auto"/>
      <w:ind w:left="708" w:hanging="141"/>
    </w:pPr>
    <w:rPr>
      <w:rFonts w:ascii="Times New Roman" w:cs="Times New Roman" w:eastAsia="Times New Roman" w:hAnsi="Times New Roman"/>
      <w:b w:val="1"/>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ny" w:default="1">
    <w:name w:val="Normal"/>
  </w:style>
  <w:style w:type="paragraph" w:styleId="Nagwek1">
    <w:name w:val="heading 1"/>
    <w:basedOn w:val="Normalny"/>
    <w:next w:val="Normalny"/>
    <w:pPr>
      <w:keepNext w:val="1"/>
      <w:keepLines w:val="1"/>
      <w:spacing w:after="120" w:before="400"/>
      <w:ind w:left="566" w:hanging="283"/>
      <w:outlineLvl w:val="0"/>
    </w:pPr>
    <w:rPr>
      <w:rFonts w:ascii="Times New Roman" w:cs="Times New Roman" w:eastAsia="Times New Roman" w:hAnsi="Times New Roman"/>
      <w:b w:val="1"/>
      <w:sz w:val="36"/>
      <w:szCs w:val="36"/>
    </w:rPr>
  </w:style>
  <w:style w:type="paragraph" w:styleId="Nagwek2">
    <w:name w:val="heading 2"/>
    <w:basedOn w:val="Normalny"/>
    <w:next w:val="Normalny"/>
    <w:pPr>
      <w:keepNext w:val="1"/>
      <w:keepLines w:val="1"/>
      <w:spacing w:after="120" w:before="360"/>
      <w:outlineLvl w:val="1"/>
    </w:pPr>
    <w:rPr>
      <w:sz w:val="32"/>
      <w:szCs w:val="32"/>
    </w:rPr>
  </w:style>
  <w:style w:type="paragraph" w:styleId="Nagwek3">
    <w:name w:val="heading 3"/>
    <w:basedOn w:val="Normalny"/>
    <w:next w:val="Normalny"/>
    <w:pPr>
      <w:keepNext w:val="1"/>
      <w:keepLines w:val="1"/>
      <w:spacing w:after="200" w:before="320"/>
      <w:ind w:left="566" w:hanging="141"/>
      <w:outlineLvl w:val="2"/>
    </w:pPr>
    <w:rPr>
      <w:rFonts w:ascii="Times New Roman" w:cs="Times New Roman" w:eastAsia="Times New Roman" w:hAnsi="Times New Roman"/>
      <w:b w:val="1"/>
      <w:color w:val="434343"/>
      <w:sz w:val="28"/>
      <w:szCs w:val="28"/>
    </w:rPr>
  </w:style>
  <w:style w:type="paragraph" w:styleId="Nagwek4">
    <w:name w:val="heading 4"/>
    <w:basedOn w:val="Normalny"/>
    <w:next w:val="Normalny"/>
    <w:pPr>
      <w:keepNext w:val="1"/>
      <w:keepLines w:val="1"/>
      <w:spacing w:after="200"/>
      <w:ind w:left="708" w:hanging="141"/>
      <w:outlineLvl w:val="3"/>
    </w:pPr>
    <w:rPr>
      <w:rFonts w:ascii="Times New Roman" w:cs="Times New Roman" w:eastAsia="Times New Roman" w:hAnsi="Times New Roman"/>
      <w:b w:val="1"/>
      <w:sz w:val="24"/>
      <w:szCs w:val="24"/>
    </w:rPr>
  </w:style>
  <w:style w:type="paragraph" w:styleId="Nagwek5">
    <w:name w:val="heading 5"/>
    <w:basedOn w:val="Normalny"/>
    <w:next w:val="Normalny"/>
    <w:pPr>
      <w:keepNext w:val="1"/>
      <w:keepLines w:val="1"/>
      <w:spacing w:after="80" w:before="240"/>
      <w:outlineLvl w:val="4"/>
    </w:pPr>
    <w:rPr>
      <w:color w:val="666666"/>
    </w:rPr>
  </w:style>
  <w:style w:type="paragraph" w:styleId="Nagwek6">
    <w:name w:val="heading 6"/>
    <w:basedOn w:val="Normalny"/>
    <w:next w:val="Normalny"/>
    <w:pPr>
      <w:keepNext w:val="1"/>
      <w:keepLines w:val="1"/>
      <w:spacing w:after="80" w:before="240"/>
      <w:outlineLvl w:val="5"/>
    </w:pPr>
    <w:rPr>
      <w:i w:val="1"/>
      <w:color w:val="666666"/>
    </w:rPr>
  </w:style>
  <w:style w:type="character" w:styleId="Domylnaczcionkaakapitu" w:default="1">
    <w:name w:val="Default Paragraph Font"/>
    <w:uiPriority w:val="1"/>
    <w:semiHidden w:val="1"/>
    <w:unhideWhenUsed w:val="1"/>
  </w:style>
  <w:style w:type="table" w:styleId="Standardowy" w:default="1">
    <w:name w:val="Normal Table"/>
    <w:uiPriority w:val="99"/>
    <w:semiHidden w:val="1"/>
    <w:unhideWhenUsed w:val="1"/>
    <w:tblPr>
      <w:tblInd w:w="0.0" w:type="dxa"/>
      <w:tblCellMar>
        <w:top w:w="0.0" w:type="dxa"/>
        <w:left w:w="108.0" w:type="dxa"/>
        <w:bottom w:w="0.0" w:type="dxa"/>
        <w:right w:w="108.0" w:type="dxa"/>
      </w:tblCellMar>
    </w:tblPr>
  </w:style>
  <w:style w:type="numbering" w:styleId="Bezlisty"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ytu">
    <w:name w:val="Title"/>
    <w:basedOn w:val="Normalny"/>
    <w:next w:val="Normalny"/>
    <w:pPr>
      <w:keepNext w:val="1"/>
      <w:keepLines w:val="1"/>
      <w:spacing w:after="60"/>
    </w:pPr>
    <w:rPr>
      <w:sz w:val="52"/>
      <w:szCs w:val="52"/>
    </w:rPr>
  </w:style>
  <w:style w:type="paragraph" w:styleId="Podtytu">
    <w:name w:val="Subtitle"/>
    <w:basedOn w:val="Normalny"/>
    <w:next w:val="Normalny"/>
    <w:pPr>
      <w:keepNext w:val="1"/>
      <w:keepLines w:val="1"/>
      <w:spacing w:after="320"/>
    </w:pPr>
    <w:rPr>
      <w:color w:val="666666"/>
      <w:sz w:val="30"/>
      <w:szCs w:val="30"/>
    </w:rPr>
  </w:style>
  <w:style w:type="table" w:styleId="a" w:customSty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1.xml"/><Relationship Id="rId10" Type="http://schemas.openxmlformats.org/officeDocument/2006/relationships/hyperlink" Target="https://owasp.org/www-project-top-ten/" TargetMode="External"/><Relationship Id="rId12" Type="http://schemas.openxmlformats.org/officeDocument/2006/relationships/footer" Target="footer1.xml"/><Relationship Id="rId9" Type="http://schemas.openxmlformats.org/officeDocument/2006/relationships/hyperlink" Target="https://api.sejm.gov.pl/"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ibe.edu.pl/pl/" TargetMode="External"/><Relationship Id="rId8" Type="http://schemas.openxmlformats.org/officeDocument/2006/relationships/hyperlink" Target="https://kwalifikacje.gov.pl/o-zsk/informacja-o-zsk"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e3U6TW6a7dNGY51z8Eundlmf+nA==">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2024-10-23T08:53:00Z</dcterms:created>
</cp:coreProperties>
</file>